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181"/>
        <w:gridCol w:w="1276"/>
        <w:gridCol w:w="4252"/>
      </w:tblGrid>
      <w:tr>
        <w:tc>
          <w:tcPr>
            <w:tcW w:w="4181" w:type="dxa"/>
            <w:vAlign w:val="center"/>
          </w:tcPr>
          <w:p>
            <w:pPr>
              <w:tabs>
                <w:tab w:val="center" w:pos="1418"/>
              </w:tabs>
              <w:jc w:val="center"/>
              <w:rPr>
                <w:b/>
              </w:rPr>
            </w:pPr>
            <w:smartTag w:uri="urn:schemas-microsoft-com:office:smarttags" w:element="PersonName">
              <w:r>
                <w:rPr>
                  <w:b/>
                </w:rPr>
                <w:t>Landkreis Celle</w:t>
              </w:r>
            </w:smartTag>
          </w:p>
          <w:p>
            <w:pPr>
              <w:tabs>
                <w:tab w:val="center" w:pos="1418"/>
              </w:tabs>
              <w:jc w:val="center"/>
              <w:rPr>
                <w:b/>
              </w:rPr>
            </w:pPr>
            <w:r>
              <w:t>Der Landrat</w:t>
            </w:r>
            <w:r>
              <w:br/>
              <w:t xml:space="preserve">Amt für Veterinärangelegenheiten </w:t>
            </w:r>
            <w:r>
              <w:br/>
              <w:t>und Verbraucherschutz</w:t>
            </w:r>
          </w:p>
        </w:tc>
        <w:tc>
          <w:tcPr>
            <w:tcW w:w="1276" w:type="dxa"/>
            <w:vAlign w:val="center"/>
          </w:tcPr>
          <w:p>
            <w:pPr>
              <w:jc w:val="center"/>
              <w:rPr>
                <w:b/>
                <w:noProof/>
              </w:rPr>
            </w:pPr>
            <w:r>
              <w:rPr>
                <w:noProof/>
              </w:rPr>
              <w:drawing>
                <wp:inline distT="0" distB="0" distL="0" distR="0">
                  <wp:extent cx="643890" cy="747395"/>
                  <wp:effectExtent l="0" t="0" r="0" b="0"/>
                  <wp:docPr id="3" name="Bild 1" descr="Wappen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gr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tc>
        <w:tc>
          <w:tcPr>
            <w:tcW w:w="4252" w:type="dxa"/>
            <w:vAlign w:val="center"/>
          </w:tcPr>
          <w:p>
            <w:pPr>
              <w:jc w:val="center"/>
            </w:pPr>
            <w:r>
              <w:t>29221 Celle, Alte Grenze 7</w:t>
            </w:r>
            <w:r>
              <w:br/>
              <w:t>Tel.: 0 51 41 / 916-5913</w:t>
            </w:r>
            <w:r>
              <w:br/>
              <w:t>Stand: Februar 2023</w:t>
            </w:r>
          </w:p>
        </w:tc>
      </w:tr>
    </w:tbl>
    <w:p/>
    <w:p>
      <w:pPr>
        <w:pStyle w:val="Textkrper3"/>
        <w:tabs>
          <w:tab w:val="clear" w:pos="851"/>
        </w:tabs>
        <w:jc w:val="center"/>
        <w:rPr>
          <w:b/>
          <w:spacing w:val="60"/>
          <w:sz w:val="22"/>
          <w:szCs w:val="22"/>
        </w:rPr>
      </w:pPr>
      <w:r>
        <w:rPr>
          <w:b/>
          <w:spacing w:val="60"/>
          <w:sz w:val="22"/>
          <w:szCs w:val="22"/>
        </w:rPr>
        <w:t>Merkblatt Trichinenprobenentnahme</w:t>
      </w:r>
      <w:r>
        <w:rPr>
          <w:b/>
          <w:spacing w:val="60"/>
          <w:sz w:val="22"/>
          <w:szCs w:val="22"/>
        </w:rPr>
        <w:br/>
        <w:t>durch den beauftragten Jäger</w:t>
      </w:r>
    </w:p>
    <w:p>
      <w:pPr>
        <w:pStyle w:val="Listenabsatz"/>
        <w:ind w:left="0"/>
        <w:jc w:val="both"/>
        <w:rPr>
          <w:rFonts w:ascii="Arial" w:hAnsi="Arial" w:cs="Arial"/>
          <w:b/>
        </w:rPr>
      </w:pPr>
    </w:p>
    <w:p>
      <w:pPr>
        <w:pStyle w:val="Listenabsatz"/>
        <w:numPr>
          <w:ilvl w:val="0"/>
          <w:numId w:val="31"/>
        </w:numPr>
        <w:ind w:left="284" w:hanging="284"/>
        <w:jc w:val="both"/>
        <w:rPr>
          <w:rFonts w:ascii="Arial" w:hAnsi="Arial" w:cs="Arial"/>
          <w:b/>
        </w:rPr>
      </w:pPr>
      <w:r>
        <w:rPr>
          <w:rFonts w:ascii="Arial" w:hAnsi="Arial" w:cs="Arial"/>
          <w:b/>
        </w:rPr>
        <w:t>Entnahme der Probe zur Trichinenuntersuchung</w:t>
      </w:r>
    </w:p>
    <w:p>
      <w:pPr>
        <w:pStyle w:val="Listenabsatz"/>
        <w:spacing w:after="720"/>
        <w:ind w:left="284"/>
        <w:jc w:val="both"/>
        <w:rPr>
          <w:rFonts w:ascii="Arial" w:hAnsi="Arial" w:cs="Arial"/>
        </w:rPr>
      </w:pPr>
      <w:r>
        <w:rPr>
          <w:rFonts w:ascii="Arial" w:hAnsi="Arial" w:cs="Arial"/>
        </w:rPr>
        <w:t xml:space="preserve">Jedes erlegte Stück Wild, dass Träger von Trichinen sein kann (z. B. Wildschwein, Dachs), ist </w:t>
      </w:r>
    </w:p>
    <w:p>
      <w:pPr>
        <w:pStyle w:val="Listenabsatz"/>
        <w:spacing w:after="720"/>
        <w:ind w:left="284"/>
        <w:jc w:val="both"/>
        <w:rPr>
          <w:rFonts w:ascii="Arial" w:hAnsi="Arial" w:cs="Arial"/>
        </w:rPr>
      </w:pPr>
      <w:r>
        <w:rPr>
          <w:rFonts w:ascii="Arial" w:hAnsi="Arial" w:cs="Arial"/>
        </w:rPr>
        <w:t xml:space="preserve">durch den geschulten und vom Landkreis Celle beauftragten Jäger, der Verantwortung für den </w:t>
      </w:r>
    </w:p>
    <w:p>
      <w:pPr>
        <w:pStyle w:val="Listenabsatz"/>
        <w:spacing w:after="720"/>
        <w:ind w:left="284"/>
        <w:jc w:val="both"/>
        <w:rPr>
          <w:rFonts w:ascii="Arial" w:hAnsi="Arial" w:cs="Arial"/>
        </w:rPr>
      </w:pPr>
      <w:r>
        <w:rPr>
          <w:rFonts w:ascii="Arial" w:hAnsi="Arial" w:cs="Arial"/>
        </w:rPr>
        <w:t xml:space="preserve">Verbleib des Wildes trägt (Eigenverbrauch oder Vermarktung), separat mit einer Wildmarke zu </w:t>
      </w:r>
    </w:p>
    <w:p>
      <w:pPr>
        <w:pStyle w:val="Listenabsatz"/>
        <w:spacing w:after="720" w:line="240" w:lineRule="auto"/>
        <w:ind w:left="284"/>
        <w:jc w:val="both"/>
        <w:rPr>
          <w:rFonts w:ascii="Arial" w:hAnsi="Arial" w:cs="Arial"/>
        </w:rPr>
      </w:pPr>
      <w:r>
        <w:rPr>
          <w:rFonts w:ascii="Arial" w:hAnsi="Arial" w:cs="Arial"/>
        </w:rPr>
        <w:t>kennzeichnen.</w:t>
      </w:r>
    </w:p>
    <w:p>
      <w:pPr>
        <w:pStyle w:val="Listenabsatz"/>
        <w:spacing w:after="720" w:line="240" w:lineRule="auto"/>
        <w:ind w:left="284"/>
        <w:jc w:val="both"/>
        <w:rPr>
          <w:rFonts w:ascii="Arial" w:hAnsi="Arial" w:cs="Arial"/>
        </w:rPr>
      </w:pPr>
    </w:p>
    <w:p>
      <w:pPr>
        <w:pStyle w:val="Listenabsatz"/>
        <w:spacing w:after="720"/>
        <w:ind w:left="284"/>
        <w:jc w:val="both"/>
        <w:rPr>
          <w:rFonts w:ascii="Arial" w:hAnsi="Arial" w:cs="Arial"/>
        </w:rPr>
      </w:pPr>
      <w:r>
        <w:rPr>
          <w:rFonts w:ascii="Arial" w:hAnsi="Arial" w:cs="Arial"/>
        </w:rPr>
        <w:t xml:space="preserve">Die Nummer der Wildmarke ist auf dem Wildursprungsschein </w:t>
      </w:r>
      <w:r>
        <w:rPr>
          <w:rFonts w:ascii="Arial" w:hAnsi="Arial" w:cs="Arial"/>
        </w:rPr>
        <w:t>einzutragen. Wildmarken und Wil</w:t>
      </w:r>
      <w:r>
        <w:rPr>
          <w:rFonts w:ascii="Arial" w:hAnsi="Arial" w:cs="Arial"/>
        </w:rPr>
        <w:t>dursprungsscheine werden auf Antrag vom Amt für Veterinär</w:t>
      </w:r>
      <w:r>
        <w:rPr>
          <w:rFonts w:ascii="Arial" w:hAnsi="Arial" w:cs="Arial"/>
        </w:rPr>
        <w:t>angelegenheiten und Verbraucher</w:t>
      </w:r>
      <w:r>
        <w:rPr>
          <w:rFonts w:ascii="Arial" w:hAnsi="Arial" w:cs="Arial"/>
        </w:rPr>
        <w:t>schutz ausschließlich an den Jagdausübungsberechtigten gegen</w:t>
      </w:r>
      <w:r>
        <w:rPr>
          <w:rFonts w:ascii="Arial" w:hAnsi="Arial" w:cs="Arial"/>
        </w:rPr>
        <w:t xml:space="preserve"> Vorlage seines gültigen Jahres</w:t>
      </w:r>
      <w:r>
        <w:rPr>
          <w:rFonts w:ascii="Arial" w:hAnsi="Arial" w:cs="Arial"/>
        </w:rPr>
        <w:t>jagdscheines ausgegeben.</w:t>
      </w:r>
    </w:p>
    <w:p>
      <w:pPr>
        <w:pStyle w:val="Listenabsatz"/>
        <w:spacing w:after="720"/>
        <w:ind w:left="284"/>
        <w:jc w:val="both"/>
        <w:rPr>
          <w:rFonts w:ascii="Arial" w:hAnsi="Arial" w:cs="Arial"/>
        </w:rPr>
      </w:pPr>
    </w:p>
    <w:p>
      <w:pPr>
        <w:pStyle w:val="Listenabsatz"/>
        <w:numPr>
          <w:ilvl w:val="0"/>
          <w:numId w:val="31"/>
        </w:numPr>
        <w:ind w:left="284" w:hanging="284"/>
        <w:jc w:val="both"/>
        <w:rPr>
          <w:rFonts w:ascii="Arial" w:hAnsi="Arial" w:cs="Arial"/>
          <w:b/>
        </w:rPr>
      </w:pPr>
      <w:r>
        <w:rPr>
          <w:rFonts w:ascii="Arial" w:hAnsi="Arial" w:cs="Arial"/>
          <w:b/>
        </w:rPr>
        <w:t>Anforderungen an die Trichinenprobenentnahme:</w:t>
      </w:r>
    </w:p>
    <w:p>
      <w:pPr>
        <w:pStyle w:val="Listenabsatz"/>
        <w:ind w:left="284"/>
        <w:jc w:val="both"/>
        <w:rPr>
          <w:rFonts w:ascii="Arial" w:hAnsi="Arial" w:cs="Arial"/>
        </w:rPr>
      </w:pPr>
      <w:r>
        <w:rPr>
          <w:rFonts w:ascii="Arial" w:hAnsi="Arial" w:cs="Arial"/>
        </w:rPr>
        <w:t>Bei dem zu untersuchenden Stück ist eine reine Muskelprobe (m</w:t>
      </w:r>
      <w:r>
        <w:rPr>
          <w:rFonts w:ascii="Arial" w:hAnsi="Arial" w:cs="Arial"/>
        </w:rPr>
        <w:t>öglichst fett-, sehnen- und bin</w:t>
      </w:r>
      <w:r>
        <w:rPr>
          <w:rFonts w:ascii="Arial" w:hAnsi="Arial" w:cs="Arial"/>
        </w:rPr>
        <w:t xml:space="preserve">degewebefrei) aus dem Zwerchfellpfeiler oder der Innenseite des Vorderlaufs von </w:t>
      </w:r>
      <w:r>
        <w:rPr>
          <w:rFonts w:ascii="Arial" w:hAnsi="Arial" w:cs="Arial"/>
          <w:b/>
        </w:rPr>
        <w:t>mindestens 60g</w:t>
      </w:r>
      <w:r>
        <w:rPr>
          <w:rFonts w:ascii="Arial" w:hAnsi="Arial" w:cs="Arial"/>
        </w:rPr>
        <w:t xml:space="preserve"> (</w:t>
      </w:r>
      <w:r>
        <w:rPr>
          <w:rFonts w:ascii="Arial" w:hAnsi="Arial" w:cs="Arial"/>
          <w:b/>
        </w:rPr>
        <w:t>besser 100g</w:t>
      </w:r>
      <w:r>
        <w:rPr>
          <w:rFonts w:ascii="Arial" w:hAnsi="Arial" w:cs="Arial"/>
        </w:rPr>
        <w:t xml:space="preserve"> für ggf. erforderliche Nachuntersuchung) mit einem sauberen Messer ohne Erdanhaftungen zu entnehmen. </w:t>
      </w:r>
    </w:p>
    <w:p>
      <w:pPr>
        <w:pStyle w:val="Listenabsatz"/>
        <w:ind w:left="284"/>
        <w:jc w:val="both"/>
        <w:rPr>
          <w:rFonts w:ascii="Arial" w:hAnsi="Arial" w:cs="Arial"/>
        </w:rPr>
      </w:pPr>
      <w:r>
        <w:rPr>
          <w:rFonts w:ascii="Arial" w:hAnsi="Arial" w:cs="Arial"/>
        </w:rPr>
        <w:t>Die Entnahme von Zungenmuskulatur ist aufgrund von labort</w:t>
      </w:r>
      <w:r>
        <w:rPr>
          <w:rFonts w:ascii="Arial" w:hAnsi="Arial" w:cs="Arial"/>
        </w:rPr>
        <w:t>echnischen Nachteilen nur im be</w:t>
      </w:r>
      <w:r>
        <w:rPr>
          <w:rFonts w:ascii="Arial" w:hAnsi="Arial" w:cs="Arial"/>
        </w:rPr>
        <w:t>gründeten Ausnahmefall statthaft, da diese häufig stark versc</w:t>
      </w:r>
      <w:r>
        <w:rPr>
          <w:rFonts w:ascii="Arial" w:hAnsi="Arial" w:cs="Arial"/>
        </w:rPr>
        <w:t>hmutzte Zungenhaut entfernt wer</w:t>
      </w:r>
      <w:r>
        <w:rPr>
          <w:rFonts w:ascii="Arial" w:hAnsi="Arial" w:cs="Arial"/>
        </w:rPr>
        <w:t xml:space="preserve">den muss und sich diese Muskulatur schwer </w:t>
      </w:r>
      <w:proofErr w:type="spellStart"/>
      <w:r>
        <w:rPr>
          <w:rFonts w:ascii="Arial" w:hAnsi="Arial" w:cs="Arial"/>
        </w:rPr>
        <w:t>wolfen</w:t>
      </w:r>
      <w:proofErr w:type="spellEnd"/>
      <w:r>
        <w:rPr>
          <w:rFonts w:ascii="Arial" w:hAnsi="Arial" w:cs="Arial"/>
        </w:rPr>
        <w:t xml:space="preserve"> und verdauen lässt. </w:t>
      </w:r>
    </w:p>
    <w:p>
      <w:pPr>
        <w:pStyle w:val="Listenabsatz"/>
        <w:ind w:left="284"/>
        <w:jc w:val="both"/>
        <w:rPr>
          <w:rFonts w:ascii="Arial" w:hAnsi="Arial" w:cs="Arial"/>
        </w:rPr>
      </w:pPr>
      <w:r>
        <w:rPr>
          <w:rFonts w:ascii="Arial" w:hAnsi="Arial" w:cs="Arial"/>
        </w:rPr>
        <w:t>Die Probe muss frisch sein (max. 7 Tage), ist stets kühl zu lage</w:t>
      </w:r>
      <w:r>
        <w:rPr>
          <w:rFonts w:ascii="Arial" w:hAnsi="Arial" w:cs="Arial"/>
        </w:rPr>
        <w:t>rn und darf unter keinen Umstän</w:t>
      </w:r>
      <w:r>
        <w:rPr>
          <w:rFonts w:ascii="Arial" w:hAnsi="Arial" w:cs="Arial"/>
        </w:rPr>
        <w:t>den eingefroren werden.</w:t>
      </w:r>
    </w:p>
    <w:p>
      <w:pPr>
        <w:pStyle w:val="Listenabsatz"/>
        <w:jc w:val="both"/>
        <w:rPr>
          <w:rFonts w:ascii="Arial" w:hAnsi="Arial" w:cs="Arial"/>
          <w:b/>
        </w:rPr>
      </w:pPr>
    </w:p>
    <w:p>
      <w:pPr>
        <w:pStyle w:val="Listenabsatz"/>
        <w:tabs>
          <w:tab w:val="left" w:pos="567"/>
        </w:tabs>
        <w:ind w:left="1276" w:hanging="992"/>
        <w:jc w:val="both"/>
        <w:rPr>
          <w:rFonts w:ascii="Arial" w:hAnsi="Arial" w:cs="Arial"/>
          <w:b/>
        </w:rPr>
      </w:pPr>
      <w:r>
        <w:rPr>
          <w:rFonts w:ascii="Arial" w:hAnsi="Arial" w:cs="Arial"/>
          <w:u w:val="single"/>
        </w:rPr>
        <w:t>Hinweis:</w:t>
      </w:r>
      <w:r>
        <w:rPr>
          <w:rFonts w:ascii="Arial" w:hAnsi="Arial" w:cs="Arial"/>
        </w:rPr>
        <w:t xml:space="preserve"> </w:t>
      </w:r>
      <w:r>
        <w:rPr>
          <w:rFonts w:ascii="Arial" w:hAnsi="Arial" w:cs="Arial"/>
        </w:rPr>
        <w:tab/>
      </w:r>
      <w:r>
        <w:rPr>
          <w:rFonts w:ascii="Arial" w:hAnsi="Arial" w:cs="Arial"/>
          <w:b/>
        </w:rPr>
        <w:t xml:space="preserve">Proben, die nicht den Anforderungen genügen (z. B. Gewicht &lt;60g, zu geringer </w:t>
      </w:r>
    </w:p>
    <w:p>
      <w:pPr>
        <w:pStyle w:val="Listenabsatz"/>
        <w:tabs>
          <w:tab w:val="left" w:pos="567"/>
        </w:tabs>
        <w:ind w:left="1276" w:hanging="992"/>
        <w:jc w:val="both"/>
        <w:rPr>
          <w:rFonts w:ascii="Arial" w:hAnsi="Arial" w:cs="Arial"/>
          <w:b/>
        </w:rPr>
      </w:pPr>
      <w:r>
        <w:rPr>
          <w:rFonts w:ascii="Arial" w:hAnsi="Arial" w:cs="Arial"/>
          <w:b/>
        </w:rPr>
        <w:tab/>
      </w:r>
      <w:r>
        <w:rPr>
          <w:rFonts w:ascii="Arial" w:hAnsi="Arial" w:cs="Arial"/>
          <w:b/>
        </w:rPr>
        <w:tab/>
      </w:r>
      <w:r>
        <w:rPr>
          <w:rFonts w:ascii="Arial" w:hAnsi="Arial" w:cs="Arial"/>
          <w:b/>
        </w:rPr>
        <w:t xml:space="preserve">Muskelanteil oder verdorbene Proben), müssen mit dem Befund „nicht </w:t>
      </w:r>
      <w:proofErr w:type="spellStart"/>
      <w:r>
        <w:rPr>
          <w:rFonts w:ascii="Arial" w:hAnsi="Arial" w:cs="Arial"/>
          <w:b/>
        </w:rPr>
        <w:t>bewert</w:t>
      </w:r>
      <w:proofErr w:type="spellEnd"/>
      <w:r>
        <w:rPr>
          <w:rFonts w:ascii="Arial" w:hAnsi="Arial" w:cs="Arial"/>
          <w:b/>
        </w:rPr>
        <w:t>-</w:t>
      </w:r>
    </w:p>
    <w:p>
      <w:pPr>
        <w:pStyle w:val="Listenabsatz"/>
        <w:tabs>
          <w:tab w:val="left" w:pos="567"/>
        </w:tabs>
        <w:ind w:left="1276" w:hanging="992"/>
        <w:jc w:val="both"/>
        <w:rPr>
          <w:rFonts w:ascii="Arial" w:hAnsi="Arial" w:cs="Arial"/>
          <w:b/>
        </w:rPr>
      </w:pPr>
      <w:r>
        <w:rPr>
          <w:rFonts w:ascii="Arial" w:hAnsi="Arial" w:cs="Arial"/>
          <w:b/>
        </w:rPr>
        <w:tab/>
      </w:r>
      <w:r>
        <w:rPr>
          <w:rFonts w:ascii="Arial" w:hAnsi="Arial" w:cs="Arial"/>
          <w:b/>
        </w:rPr>
        <w:tab/>
      </w:r>
      <w:r>
        <w:rPr>
          <w:rFonts w:ascii="Arial" w:hAnsi="Arial" w:cs="Arial"/>
          <w:b/>
        </w:rPr>
        <w:t>bar“ zurückgewiesen werden! Für die dadurch zur Untersuchung zu gebende neue Probe sind die Untersuchungsgebühren erneut zu entrichten.</w:t>
      </w:r>
    </w:p>
    <w:p>
      <w:pPr>
        <w:pStyle w:val="Listenabsatz"/>
        <w:spacing w:after="0" w:line="240" w:lineRule="auto"/>
        <w:ind w:left="284"/>
        <w:jc w:val="both"/>
        <w:rPr>
          <w:rFonts w:ascii="Arial" w:hAnsi="Arial" w:cs="Arial"/>
        </w:rPr>
      </w:pPr>
    </w:p>
    <w:p>
      <w:pPr>
        <w:pStyle w:val="Listenabsatz"/>
        <w:numPr>
          <w:ilvl w:val="0"/>
          <w:numId w:val="31"/>
        </w:numPr>
        <w:ind w:left="284" w:hanging="284"/>
        <w:jc w:val="both"/>
        <w:rPr>
          <w:rFonts w:ascii="Arial" w:hAnsi="Arial" w:cs="Arial"/>
          <w:b/>
        </w:rPr>
      </w:pPr>
      <w:r>
        <w:rPr>
          <w:rFonts w:ascii="Arial" w:hAnsi="Arial" w:cs="Arial"/>
          <w:b/>
        </w:rPr>
        <w:t>Verpackung, Kennzeichnung, Transport und Abgabe der Probe</w:t>
      </w:r>
    </w:p>
    <w:p>
      <w:pPr>
        <w:pStyle w:val="Listenabsatz"/>
        <w:spacing w:after="720" w:line="240" w:lineRule="auto"/>
        <w:ind w:left="284"/>
        <w:jc w:val="both"/>
        <w:rPr>
          <w:rFonts w:ascii="Arial" w:hAnsi="Arial" w:cs="Arial"/>
        </w:rPr>
      </w:pPr>
      <w:r>
        <w:rPr>
          <w:rFonts w:ascii="Arial" w:hAnsi="Arial" w:cs="Arial"/>
        </w:rPr>
        <w:t>Jede Probe ist separat in einem sicheren, hygienisch einwandfreiem und fest verschlossenem Behältnis (z.B. Kunststoffbeutel, Kunststoffgefäß) zu verpacken und mindestens mit der Wildmarkennummer deutlich lesbar und unverwischbar zu beschriften.</w:t>
      </w:r>
    </w:p>
    <w:p>
      <w:pPr>
        <w:pStyle w:val="Listenabsatz"/>
        <w:tabs>
          <w:tab w:val="left" w:pos="567"/>
        </w:tabs>
        <w:spacing w:after="0" w:line="240" w:lineRule="auto"/>
        <w:ind w:left="1276" w:hanging="992"/>
        <w:jc w:val="both"/>
        <w:rPr>
          <w:rFonts w:ascii="Arial" w:hAnsi="Arial" w:cs="Arial"/>
        </w:rPr>
      </w:pPr>
      <w:r>
        <w:rPr>
          <w:rFonts w:ascii="Arial" w:hAnsi="Arial" w:cs="Arial"/>
          <w:u w:val="single"/>
        </w:rPr>
        <w:t>Hinweis:</w:t>
      </w:r>
      <w:r>
        <w:rPr>
          <w:rFonts w:ascii="Arial" w:hAnsi="Arial" w:cs="Arial"/>
        </w:rPr>
        <w:t xml:space="preserve"> </w:t>
      </w:r>
      <w:r>
        <w:rPr>
          <w:rFonts w:ascii="Arial" w:hAnsi="Arial" w:cs="Arial"/>
        </w:rPr>
        <w:tab/>
      </w:r>
      <w:proofErr w:type="spellStart"/>
      <w:r>
        <w:rPr>
          <w:rFonts w:ascii="Arial" w:hAnsi="Arial" w:cs="Arial"/>
          <w:b/>
        </w:rPr>
        <w:t>Unbeschriftete</w:t>
      </w:r>
      <w:proofErr w:type="spellEnd"/>
      <w:r>
        <w:rPr>
          <w:rFonts w:ascii="Arial" w:hAnsi="Arial" w:cs="Arial"/>
          <w:b/>
        </w:rPr>
        <w:t xml:space="preserve"> oder nicht zuordnungsfähige Proben müssen zurückgewiesen werden </w:t>
      </w:r>
      <w:r>
        <w:rPr>
          <w:rFonts w:ascii="Arial" w:hAnsi="Arial" w:cs="Arial"/>
        </w:rPr>
        <w:t>(siehe Hinweis zu 2.)</w:t>
      </w:r>
      <w:r>
        <w:rPr>
          <w:rFonts w:ascii="Arial" w:hAnsi="Arial" w:cs="Arial"/>
          <w:b/>
        </w:rPr>
        <w:t>!</w:t>
      </w:r>
    </w:p>
    <w:p>
      <w:pPr>
        <w:pStyle w:val="Listenabsatz"/>
        <w:spacing w:after="720" w:line="240" w:lineRule="auto"/>
        <w:ind w:left="284"/>
        <w:jc w:val="both"/>
        <w:rPr>
          <w:rFonts w:ascii="Arial" w:hAnsi="Arial" w:cs="Arial"/>
        </w:rPr>
      </w:pPr>
      <w:r>
        <w:rPr>
          <w:rFonts w:ascii="Arial" w:hAnsi="Arial" w:cs="Arial"/>
        </w:rPr>
        <w:t xml:space="preserve">In den Wildursprungsschein wird bei Abgabe der Probe durch die Annahmestelle der früheste Zeitpunkt eingetragen, an dem über das Wildbret verfügt werden darf. </w:t>
      </w:r>
    </w:p>
    <w:p>
      <w:pPr>
        <w:pStyle w:val="Listenabsatz"/>
        <w:numPr>
          <w:ilvl w:val="0"/>
          <w:numId w:val="37"/>
        </w:numPr>
        <w:spacing w:after="720"/>
        <w:jc w:val="both"/>
        <w:rPr>
          <w:rFonts w:ascii="Arial" w:hAnsi="Arial" w:cs="Arial"/>
        </w:rPr>
      </w:pPr>
      <w:r>
        <w:rPr>
          <w:rFonts w:ascii="Arial" w:hAnsi="Arial" w:cs="Arial"/>
        </w:rPr>
        <w:t xml:space="preserve">Das Original des Wildursprungsscheins wird dem </w:t>
      </w:r>
      <w:proofErr w:type="spellStart"/>
      <w:r>
        <w:rPr>
          <w:rFonts w:ascii="Arial" w:hAnsi="Arial" w:cs="Arial"/>
        </w:rPr>
        <w:t>Erleger</w:t>
      </w:r>
      <w:proofErr w:type="spellEnd"/>
      <w:r>
        <w:rPr>
          <w:rFonts w:ascii="Arial" w:hAnsi="Arial" w:cs="Arial"/>
        </w:rPr>
        <w:t xml:space="preserve"> von der Annahmestelle übermittelt. </w:t>
      </w:r>
    </w:p>
    <w:p>
      <w:pPr>
        <w:pStyle w:val="Listenabsatz"/>
        <w:numPr>
          <w:ilvl w:val="0"/>
          <w:numId w:val="37"/>
        </w:numPr>
        <w:spacing w:after="720"/>
        <w:jc w:val="both"/>
        <w:rPr>
          <w:rFonts w:ascii="Arial" w:hAnsi="Arial" w:cs="Arial"/>
        </w:rPr>
      </w:pPr>
      <w:r>
        <w:rPr>
          <w:rFonts w:ascii="Arial" w:hAnsi="Arial" w:cs="Arial"/>
        </w:rPr>
        <w:t xml:space="preserve">Die erste Durchschrift ist für den endgültigen Besitzer des Wildtierkörpers bestimmt. </w:t>
      </w:r>
    </w:p>
    <w:p>
      <w:pPr>
        <w:pStyle w:val="Listenabsatz"/>
        <w:numPr>
          <w:ilvl w:val="0"/>
          <w:numId w:val="37"/>
        </w:numPr>
        <w:spacing w:after="720"/>
        <w:jc w:val="both"/>
        <w:rPr>
          <w:rFonts w:ascii="Arial" w:hAnsi="Arial" w:cs="Arial"/>
        </w:rPr>
      </w:pPr>
      <w:r>
        <w:rPr>
          <w:rFonts w:ascii="Arial" w:hAnsi="Arial" w:cs="Arial"/>
        </w:rPr>
        <w:t>Die zweite Durchschrift ver</w:t>
      </w:r>
      <w:r>
        <w:rPr>
          <w:rFonts w:ascii="Arial" w:hAnsi="Arial" w:cs="Arial"/>
        </w:rPr>
        <w:t xml:space="preserve">bleibt beim amtlichen Tierarzt </w:t>
      </w:r>
      <w:r>
        <w:rPr>
          <w:rFonts w:ascii="Arial" w:hAnsi="Arial" w:cs="Arial"/>
        </w:rPr>
        <w:t>un</w:t>
      </w:r>
      <w:r>
        <w:rPr>
          <w:rFonts w:ascii="Arial" w:hAnsi="Arial" w:cs="Arial"/>
        </w:rPr>
        <w:t>d wird dort zwei Jahre lang auf</w:t>
      </w:r>
      <w:r>
        <w:rPr>
          <w:rFonts w:ascii="Arial" w:hAnsi="Arial" w:cs="Arial"/>
        </w:rPr>
        <w:t xml:space="preserve">bewahrt. </w:t>
      </w:r>
    </w:p>
    <w:p>
      <w:pPr>
        <w:pStyle w:val="Listenabsatz"/>
        <w:numPr>
          <w:ilvl w:val="0"/>
          <w:numId w:val="37"/>
        </w:numPr>
        <w:spacing w:after="720"/>
        <w:jc w:val="both"/>
        <w:rPr>
          <w:rFonts w:ascii="Arial" w:hAnsi="Arial" w:cs="Arial"/>
        </w:rPr>
      </w:pPr>
      <w:r>
        <w:rPr>
          <w:rFonts w:ascii="Arial" w:hAnsi="Arial" w:cs="Arial"/>
        </w:rPr>
        <w:t>Der Wildtierkörper darf nur nach Abschluss der Trichinenun</w:t>
      </w:r>
      <w:r>
        <w:rPr>
          <w:rFonts w:ascii="Arial" w:hAnsi="Arial" w:cs="Arial"/>
        </w:rPr>
        <w:t>tersuchung zusammen mit der ent</w:t>
      </w:r>
      <w:r>
        <w:rPr>
          <w:rFonts w:ascii="Arial" w:hAnsi="Arial" w:cs="Arial"/>
        </w:rPr>
        <w:t xml:space="preserve">sprechenden Durchschrift des Wildursprungsscheines und mit der gut sichtbar angebrachten Wildmarke (Bauch, Brustkorb) abgegeben werden. </w:t>
      </w:r>
    </w:p>
    <w:p>
      <w:pPr>
        <w:pStyle w:val="Listenabsatz"/>
        <w:spacing w:after="720"/>
        <w:ind w:left="284"/>
        <w:jc w:val="both"/>
        <w:rPr>
          <w:rFonts w:ascii="Arial" w:hAnsi="Arial" w:cs="Arial"/>
        </w:rPr>
      </w:pPr>
    </w:p>
    <w:p>
      <w:pPr>
        <w:pStyle w:val="Listenabsatz"/>
        <w:spacing w:after="720"/>
        <w:ind w:left="0" w:firstLine="284"/>
        <w:jc w:val="both"/>
        <w:rPr>
          <w:rFonts w:ascii="Arial" w:hAnsi="Arial" w:cs="Arial"/>
        </w:rPr>
      </w:pPr>
      <w:r>
        <w:rPr>
          <w:rFonts w:ascii="Arial" w:hAnsi="Arial" w:cs="Arial"/>
        </w:rPr>
        <w:t>D</w:t>
      </w:r>
      <w:r>
        <w:rPr>
          <w:rFonts w:ascii="Arial" w:hAnsi="Arial" w:cs="Arial"/>
        </w:rPr>
        <w:t xml:space="preserve">ie Probe wird zeitnah bei einem der beauftragten amtlichen Tierärzte des Landkreises Celle </w:t>
      </w:r>
    </w:p>
    <w:p>
      <w:pPr>
        <w:pStyle w:val="Listenabsatz"/>
        <w:spacing w:after="720"/>
        <w:ind w:left="284"/>
        <w:jc w:val="both"/>
        <w:rPr>
          <w:rFonts w:ascii="Arial" w:hAnsi="Arial" w:cs="Arial"/>
        </w:rPr>
      </w:pPr>
      <w:r>
        <w:rPr>
          <w:rFonts w:ascii="Arial" w:hAnsi="Arial" w:cs="Arial"/>
        </w:rPr>
        <w:t>abgegeben und von diesem per Kurier an ein akkreditiertes</w:t>
      </w:r>
      <w:r>
        <w:rPr>
          <w:rFonts w:ascii="Arial" w:hAnsi="Arial" w:cs="Arial"/>
        </w:rPr>
        <w:t xml:space="preserve"> Labor zur Untersuchung weitergelei</w:t>
      </w:r>
      <w:r>
        <w:rPr>
          <w:rFonts w:ascii="Arial" w:hAnsi="Arial" w:cs="Arial"/>
        </w:rPr>
        <w:t>tet.</w:t>
      </w:r>
    </w:p>
    <w:p>
      <w:pPr>
        <w:pStyle w:val="Listenabsatz"/>
        <w:spacing w:after="720" w:line="240" w:lineRule="auto"/>
        <w:ind w:left="284"/>
        <w:jc w:val="both"/>
        <w:rPr>
          <w:rFonts w:ascii="Arial" w:hAnsi="Arial" w:cs="Arial"/>
        </w:rPr>
      </w:pPr>
    </w:p>
    <w:p>
      <w:pPr>
        <w:pStyle w:val="Listenabsatz"/>
        <w:tabs>
          <w:tab w:val="left" w:pos="1276"/>
        </w:tabs>
        <w:spacing w:after="0" w:line="240" w:lineRule="auto"/>
        <w:ind w:left="1276" w:hanging="992"/>
        <w:jc w:val="both"/>
        <w:rPr>
          <w:rFonts w:ascii="Arial" w:hAnsi="Arial" w:cs="Arial"/>
          <w:b/>
        </w:rPr>
      </w:pPr>
      <w:r>
        <w:rPr>
          <w:rFonts w:ascii="Arial" w:hAnsi="Arial" w:cs="Arial"/>
          <w:u w:val="single"/>
        </w:rPr>
        <w:t>Hinweis:</w:t>
      </w:r>
      <w:r>
        <w:rPr>
          <w:rFonts w:ascii="Arial" w:hAnsi="Arial" w:cs="Arial"/>
        </w:rPr>
        <w:tab/>
      </w:r>
      <w:r>
        <w:rPr>
          <w:rFonts w:ascii="Arial" w:hAnsi="Arial" w:cs="Arial"/>
          <w:b/>
        </w:rPr>
        <w:t xml:space="preserve">Das Stück darf bis zum Vorliegen des negativen Ergebnisses, bzw. bis zum Ablauf der Sperrfrist, weder verarbeitet (nur abschwarten, nicht zerwirken), noch in den Verkehr gebracht werden (keinesfalls verkaufen oder verschenken). </w:t>
      </w:r>
      <w:r>
        <w:rPr>
          <w:rFonts w:ascii="Arial" w:hAnsi="Arial" w:cs="Arial"/>
          <w:b/>
        </w:rPr>
        <w:br/>
        <w:t>Die Vorschriften gelten grundsätzlich auch für den privathäuslichen Bereich.</w:t>
      </w:r>
    </w:p>
    <w:p>
      <w:pPr>
        <w:pStyle w:val="Listenabsatz"/>
        <w:tabs>
          <w:tab w:val="left" w:pos="1276"/>
        </w:tabs>
        <w:spacing w:after="0" w:line="240" w:lineRule="auto"/>
        <w:ind w:left="1276" w:hanging="992"/>
        <w:jc w:val="both"/>
        <w:rPr>
          <w:rFonts w:ascii="Arial" w:hAnsi="Arial" w:cs="Arial"/>
          <w:b/>
        </w:rPr>
      </w:pPr>
    </w:p>
    <w:p>
      <w:pPr>
        <w:pStyle w:val="Listenabsatz"/>
        <w:numPr>
          <w:ilvl w:val="0"/>
          <w:numId w:val="31"/>
        </w:numPr>
        <w:ind w:left="284" w:hanging="284"/>
        <w:jc w:val="both"/>
        <w:rPr>
          <w:rFonts w:ascii="Arial" w:hAnsi="Arial" w:cs="Arial"/>
          <w:b/>
        </w:rPr>
      </w:pPr>
      <w:r>
        <w:rPr>
          <w:rFonts w:ascii="Arial" w:hAnsi="Arial" w:cs="Arial"/>
          <w:b/>
        </w:rPr>
        <w:t>Ausnahmen</w:t>
      </w:r>
    </w:p>
    <w:p>
      <w:pPr>
        <w:pStyle w:val="Listenabsatz"/>
        <w:numPr>
          <w:ilvl w:val="0"/>
          <w:numId w:val="32"/>
        </w:numPr>
        <w:tabs>
          <w:tab w:val="left" w:pos="567"/>
        </w:tabs>
        <w:spacing w:after="0" w:line="240" w:lineRule="auto"/>
        <w:ind w:left="567" w:hanging="283"/>
        <w:jc w:val="both"/>
        <w:rPr>
          <w:rFonts w:ascii="Arial" w:hAnsi="Arial" w:cs="Arial"/>
        </w:rPr>
      </w:pPr>
      <w:r>
        <w:rPr>
          <w:rFonts w:ascii="Arial" w:hAnsi="Arial" w:cs="Arial"/>
        </w:rPr>
        <w:t>Es dürfen auch Stücke beprobt werden, die von anderen Jägern erlegt wurden. Der Probenehmer muss aber für den Verbleib des Wildes Mitverantwortung tragen. Eine Probenahme als sog. „Dienstleistung“ ohne Bezug zum Inverkehrbringen des Stückes ist nicht möglich.</w:t>
      </w:r>
    </w:p>
    <w:p>
      <w:pPr>
        <w:pStyle w:val="Listenabsatz"/>
        <w:numPr>
          <w:ilvl w:val="0"/>
          <w:numId w:val="32"/>
        </w:numPr>
        <w:tabs>
          <w:tab w:val="left" w:pos="567"/>
        </w:tabs>
        <w:spacing w:after="0" w:line="240" w:lineRule="auto"/>
        <w:ind w:left="567" w:hanging="283"/>
        <w:jc w:val="both"/>
        <w:rPr>
          <w:rFonts w:ascii="Arial" w:hAnsi="Arial" w:cs="Arial"/>
        </w:rPr>
      </w:pPr>
      <w:r>
        <w:rPr>
          <w:rFonts w:ascii="Arial" w:hAnsi="Arial" w:cs="Arial"/>
        </w:rPr>
        <w:t>Bei Wild, das über EU-zulassungspflichtige Wildverarbeitungsbetriebe in den Verkehr gebracht wird, braucht der Jäger keine Proben zu entnehmen. Die Entnahme und Untersuchung erfolgt dann im Rahmen der amtlichen Fleischuntersuchung.</w:t>
      </w:r>
    </w:p>
    <w:p>
      <w:pPr>
        <w:pStyle w:val="Listenabsatz"/>
        <w:numPr>
          <w:ilvl w:val="0"/>
          <w:numId w:val="32"/>
        </w:numPr>
        <w:tabs>
          <w:tab w:val="left" w:pos="567"/>
        </w:tabs>
        <w:spacing w:after="0" w:line="240" w:lineRule="auto"/>
        <w:ind w:left="567" w:hanging="283"/>
        <w:jc w:val="both"/>
        <w:rPr>
          <w:rFonts w:ascii="Arial" w:hAnsi="Arial" w:cs="Arial"/>
        </w:rPr>
      </w:pPr>
      <w:r>
        <w:rPr>
          <w:rFonts w:ascii="Arial" w:hAnsi="Arial" w:cs="Arial"/>
        </w:rPr>
        <w:t>Wild kann ohne Probenahme an Einzelhandelsbetriebe oder an Jagdscheininhaber abgegeben werden, wenn diese die Probenahme selbst veranlassen (Übertragung der Anmeldeverpflichtung).</w:t>
      </w:r>
    </w:p>
    <w:p>
      <w:pPr>
        <w:pStyle w:val="Listenabsatz"/>
        <w:ind w:left="284"/>
        <w:rPr>
          <w:rFonts w:ascii="Arial" w:hAnsi="Arial" w:cs="Arial"/>
        </w:rPr>
      </w:pPr>
    </w:p>
    <w:p>
      <w:pPr>
        <w:pStyle w:val="Listenabsatz"/>
        <w:numPr>
          <w:ilvl w:val="0"/>
          <w:numId w:val="31"/>
        </w:numPr>
        <w:ind w:left="284" w:hanging="284"/>
        <w:jc w:val="both"/>
        <w:rPr>
          <w:rFonts w:ascii="Arial" w:hAnsi="Arial" w:cs="Arial"/>
          <w:b/>
        </w:rPr>
      </w:pPr>
      <w:r>
        <w:rPr>
          <w:rFonts w:ascii="Arial" w:hAnsi="Arial" w:cs="Arial"/>
          <w:b/>
        </w:rPr>
        <w:t>Amtliche Probenahme durch den amtlichen Tierarzt oder amtlichen Fachassistenten</w:t>
      </w:r>
    </w:p>
    <w:p>
      <w:pPr>
        <w:pStyle w:val="Listenabsatz"/>
        <w:numPr>
          <w:ilvl w:val="0"/>
          <w:numId w:val="32"/>
        </w:numPr>
        <w:tabs>
          <w:tab w:val="left" w:pos="567"/>
        </w:tabs>
        <w:spacing w:after="0" w:line="240" w:lineRule="auto"/>
        <w:ind w:left="567" w:hanging="283"/>
        <w:jc w:val="both"/>
        <w:rPr>
          <w:rFonts w:ascii="Arial" w:hAnsi="Arial" w:cs="Arial"/>
        </w:rPr>
      </w:pPr>
      <w:r>
        <w:rPr>
          <w:rFonts w:ascii="Arial" w:hAnsi="Arial" w:cs="Arial"/>
        </w:rPr>
        <w:t>Wild, das Träger von Trichinen sein kann, und bei denen b</w:t>
      </w:r>
      <w:r>
        <w:rPr>
          <w:rFonts w:ascii="Arial" w:hAnsi="Arial" w:cs="Arial"/>
        </w:rPr>
        <w:t>edenkliche Merkmale beim Anspre</w:t>
      </w:r>
      <w:r>
        <w:rPr>
          <w:rFonts w:ascii="Arial" w:hAnsi="Arial" w:cs="Arial"/>
        </w:rPr>
        <w:t>chen oder nach dem Erlegen festgestellt worden sind, unterli</w:t>
      </w:r>
      <w:r>
        <w:rPr>
          <w:rFonts w:ascii="Arial" w:hAnsi="Arial" w:cs="Arial"/>
        </w:rPr>
        <w:t>egen der amtlichen Fleischunter</w:t>
      </w:r>
      <w:r>
        <w:rPr>
          <w:rFonts w:ascii="Arial" w:hAnsi="Arial" w:cs="Arial"/>
        </w:rPr>
        <w:t xml:space="preserve">suchung. </w:t>
      </w:r>
    </w:p>
    <w:p>
      <w:pPr>
        <w:pStyle w:val="Listenabsatz"/>
        <w:numPr>
          <w:ilvl w:val="0"/>
          <w:numId w:val="32"/>
        </w:numPr>
        <w:tabs>
          <w:tab w:val="left" w:pos="567"/>
        </w:tabs>
        <w:spacing w:after="0" w:line="240" w:lineRule="auto"/>
        <w:ind w:left="567" w:hanging="283"/>
        <w:jc w:val="both"/>
        <w:rPr>
          <w:rFonts w:ascii="Arial" w:hAnsi="Arial" w:cs="Arial"/>
        </w:rPr>
      </w:pPr>
      <w:r>
        <w:rPr>
          <w:rFonts w:ascii="Arial" w:hAnsi="Arial" w:cs="Arial"/>
        </w:rPr>
        <w:t xml:space="preserve">Bären, Füchse und andere fleischfressende Tiere, die zum Genuss für Menschen verwendet werden sollen, sind ebenfalls auf Trichinen zu untersuchen. </w:t>
      </w:r>
      <w:r>
        <w:rPr>
          <w:rFonts w:ascii="Arial" w:hAnsi="Arial" w:cs="Arial"/>
        </w:rPr>
        <w:t>Sie unterliegen immer den amtli</w:t>
      </w:r>
      <w:r>
        <w:rPr>
          <w:rFonts w:ascii="Arial" w:hAnsi="Arial" w:cs="Arial"/>
        </w:rPr>
        <w:t>chen Probenahmen.</w:t>
      </w:r>
    </w:p>
    <w:p>
      <w:pPr>
        <w:autoSpaceDE w:val="0"/>
        <w:autoSpaceDN w:val="0"/>
        <w:adjustRightInd w:val="0"/>
      </w:pPr>
    </w:p>
    <w:p>
      <w:pPr>
        <w:autoSpaceDE w:val="0"/>
        <w:autoSpaceDN w:val="0"/>
        <w:adjustRightInd w:val="0"/>
        <w:rPr>
          <w:b/>
        </w:rPr>
      </w:pPr>
      <w:r>
        <w:rPr>
          <w:b/>
        </w:rPr>
        <w:t>Ausfüllhinweise für den Wildursprungsschein</w:t>
      </w:r>
    </w:p>
    <w:p>
      <w:pPr>
        <w:autoSpaceDE w:val="0"/>
        <w:autoSpaceDN w:val="0"/>
        <w:adjustRightInd w:val="0"/>
      </w:pPr>
      <w:r>
        <w:t xml:space="preserve">Vom beauftragten Jäger wird nur der </w:t>
      </w:r>
      <w:r>
        <w:rPr>
          <w:b/>
        </w:rPr>
        <w:t>obere Teil</w:t>
      </w:r>
      <w:r>
        <w:t xml:space="preserve"> des Scheines wie folgt ausgefüllt (siehe Abb.):</w:t>
      </w:r>
    </w:p>
    <w:p>
      <w:pPr>
        <w:autoSpaceDE w:val="0"/>
        <w:autoSpaceDN w:val="0"/>
        <w:adjustRightInd w:val="0"/>
      </w:pPr>
    </w:p>
    <w:p>
      <w:pPr>
        <w:pStyle w:val="Listenabsatz"/>
        <w:numPr>
          <w:ilvl w:val="0"/>
          <w:numId w:val="35"/>
        </w:numPr>
        <w:autoSpaceDE w:val="0"/>
        <w:autoSpaceDN w:val="0"/>
        <w:adjustRightInd w:val="0"/>
        <w:spacing w:before="60" w:after="60" w:line="240" w:lineRule="auto"/>
        <w:ind w:left="568" w:hanging="284"/>
        <w:rPr>
          <w:rFonts w:ascii="Arial" w:hAnsi="Arial" w:cs="Arial"/>
        </w:rPr>
      </w:pPr>
      <w:r>
        <w:rPr>
          <w:rFonts w:ascii="Arial" w:hAnsi="Arial" w:cs="Arial"/>
        </w:rPr>
        <w:t>Fortlaufende Nummer der jeweiligen Wildmarke, die gut sichtbar am erlegten Stück (Bauch, Brustkorb) befestigt wird.</w:t>
      </w:r>
    </w:p>
    <w:p>
      <w:pPr>
        <w:pStyle w:val="Listenabsatz"/>
        <w:numPr>
          <w:ilvl w:val="0"/>
          <w:numId w:val="35"/>
        </w:numPr>
        <w:autoSpaceDE w:val="0"/>
        <w:autoSpaceDN w:val="0"/>
        <w:adjustRightInd w:val="0"/>
        <w:spacing w:before="60" w:after="60" w:line="240" w:lineRule="auto"/>
        <w:ind w:left="568" w:hanging="284"/>
        <w:rPr>
          <w:rFonts w:ascii="Arial" w:hAnsi="Arial" w:cs="Arial"/>
        </w:rPr>
      </w:pPr>
      <w:r>
        <w:rPr>
          <w:rFonts w:ascii="Arial" w:hAnsi="Arial" w:cs="Arial"/>
        </w:rPr>
        <w:t xml:space="preserve">Möglichst genaue Angabe des </w:t>
      </w:r>
      <w:proofErr w:type="spellStart"/>
      <w:r>
        <w:rPr>
          <w:rFonts w:ascii="Arial" w:hAnsi="Arial" w:cs="Arial"/>
        </w:rPr>
        <w:t>Erlegeortes</w:t>
      </w:r>
      <w:proofErr w:type="spellEnd"/>
      <w:r>
        <w:rPr>
          <w:rFonts w:ascii="Arial" w:hAnsi="Arial" w:cs="Arial"/>
        </w:rPr>
        <w:t xml:space="preserve"> (Reviernummer, Jagdbezirk) </w:t>
      </w:r>
    </w:p>
    <w:p>
      <w:pPr>
        <w:pStyle w:val="Listenabsatz"/>
        <w:numPr>
          <w:ilvl w:val="0"/>
          <w:numId w:val="35"/>
        </w:numPr>
        <w:autoSpaceDE w:val="0"/>
        <w:autoSpaceDN w:val="0"/>
        <w:adjustRightInd w:val="0"/>
        <w:spacing w:before="60" w:after="60" w:line="240" w:lineRule="auto"/>
        <w:ind w:left="568" w:hanging="284"/>
        <w:rPr>
          <w:rFonts w:ascii="Arial" w:hAnsi="Arial" w:cs="Arial"/>
        </w:rPr>
      </w:pPr>
      <w:r>
        <w:rPr>
          <w:rFonts w:ascii="Arial" w:hAnsi="Arial" w:cs="Arial"/>
        </w:rPr>
        <w:t xml:space="preserve">Angabe der vollständigen </w:t>
      </w:r>
      <w:r>
        <w:rPr>
          <w:rFonts w:ascii="Arial" w:hAnsi="Arial" w:cs="Arial"/>
          <w:b/>
        </w:rPr>
        <w:t>Adresse</w:t>
      </w:r>
      <w:r>
        <w:rPr>
          <w:rFonts w:ascii="Arial" w:hAnsi="Arial" w:cs="Arial"/>
        </w:rPr>
        <w:t xml:space="preserve"> und einer Telefonnummer, die eine Erreichbarkeit garantiert (vorzugsweise </w:t>
      </w:r>
      <w:r>
        <w:rPr>
          <w:rFonts w:ascii="Arial" w:hAnsi="Arial" w:cs="Arial"/>
          <w:b/>
        </w:rPr>
        <w:t>Handynummer</w:t>
      </w:r>
      <w:r>
        <w:rPr>
          <w:rFonts w:ascii="Arial" w:hAnsi="Arial" w:cs="Arial"/>
        </w:rPr>
        <w:t>)</w:t>
      </w:r>
    </w:p>
    <w:p>
      <w:pPr>
        <w:pStyle w:val="Listenabsatz"/>
        <w:numPr>
          <w:ilvl w:val="0"/>
          <w:numId w:val="35"/>
        </w:numPr>
        <w:autoSpaceDE w:val="0"/>
        <w:autoSpaceDN w:val="0"/>
        <w:adjustRightInd w:val="0"/>
        <w:spacing w:before="60" w:after="60" w:line="240" w:lineRule="auto"/>
        <w:ind w:left="568" w:hanging="284"/>
        <w:rPr>
          <w:rFonts w:ascii="Arial" w:hAnsi="Arial" w:cs="Arial"/>
        </w:rPr>
      </w:pPr>
      <w:r>
        <w:rPr>
          <w:rFonts w:ascii="Arial" w:hAnsi="Arial" w:cs="Arial"/>
        </w:rPr>
        <w:t xml:space="preserve">Datum und </w:t>
      </w:r>
      <w:r>
        <w:rPr>
          <w:rFonts w:ascii="Arial" w:hAnsi="Arial" w:cs="Arial"/>
          <w:b/>
        </w:rPr>
        <w:t>Unterschrift</w:t>
      </w:r>
      <w:r>
        <w:rPr>
          <w:rFonts w:ascii="Arial" w:hAnsi="Arial" w:cs="Arial"/>
        </w:rPr>
        <w:t xml:space="preserve"> des beauftragten Jägers</w:t>
      </w:r>
    </w:p>
    <w:p>
      <w:pPr>
        <w:pStyle w:val="Listenabsatz"/>
        <w:numPr>
          <w:ilvl w:val="0"/>
          <w:numId w:val="35"/>
        </w:numPr>
        <w:autoSpaceDE w:val="0"/>
        <w:autoSpaceDN w:val="0"/>
        <w:adjustRightInd w:val="0"/>
        <w:spacing w:before="60" w:after="60" w:line="240" w:lineRule="auto"/>
        <w:ind w:left="568" w:hanging="284"/>
        <w:rPr>
          <w:rFonts w:ascii="Arial" w:hAnsi="Arial" w:cs="Arial"/>
        </w:rPr>
      </w:pPr>
      <w:r>
        <w:rPr>
          <w:rFonts w:ascii="Arial" w:hAnsi="Arial" w:cs="Arial"/>
          <w:b/>
        </w:rPr>
        <w:t>Erlegungsdatum:</w:t>
      </w:r>
      <w:r>
        <w:rPr>
          <w:rFonts w:ascii="Arial" w:hAnsi="Arial" w:cs="Arial"/>
        </w:rPr>
        <w:t xml:space="preserve"> genaue (!) Angabe des Erlege Datums, die Probe sollte möglichst nicht älter als 7 Tage sein. Zusätzlich ist die Abgabestelle (im Dokument Abgabe an…) mit dem Namen des amtlichen Tierarztes zu versehen.</w:t>
      </w:r>
    </w:p>
    <w:p>
      <w:pPr>
        <w:autoSpaceDE w:val="0"/>
        <w:autoSpaceDN w:val="0"/>
        <w:adjustRightInd w:val="0"/>
      </w:pPr>
    </w:p>
    <w:p>
      <w:pPr>
        <w:autoSpaceDE w:val="0"/>
        <w:autoSpaceDN w:val="0"/>
        <w:adjustRightInd w:val="0"/>
      </w:pPr>
      <w:r>
        <w:t xml:space="preserve">Der </w:t>
      </w:r>
      <w:r>
        <w:rPr>
          <w:b/>
        </w:rPr>
        <w:t>untere Teil</w:t>
      </w:r>
      <w:r>
        <w:t xml:space="preserve"> des Dokuments (markiert mit rotem Kreuz) wird ausschließlich von der amtlichen </w:t>
      </w:r>
    </w:p>
    <w:p>
      <w:pPr>
        <w:autoSpaceDE w:val="0"/>
        <w:autoSpaceDN w:val="0"/>
        <w:adjustRightInd w:val="0"/>
      </w:pPr>
      <w:r>
        <w:t>Untersuchungsstelle des Landkreises Celle ausgefüllt (Wasserlabor Höfer)</w:t>
      </w:r>
      <w:r>
        <w:t>:</w:t>
      </w:r>
    </w:p>
    <w:p>
      <w:pPr>
        <w:autoSpaceDE w:val="0"/>
        <w:autoSpaceDN w:val="0"/>
        <w:adjustRightInd w:val="0"/>
      </w:pPr>
    </w:p>
    <w:p>
      <w:pPr>
        <w:pStyle w:val="Listenabsatz"/>
        <w:autoSpaceDE w:val="0"/>
        <w:autoSpaceDN w:val="0"/>
        <w:adjustRightInd w:val="0"/>
        <w:spacing w:after="0" w:line="240" w:lineRule="auto"/>
        <w:ind w:left="0"/>
        <w:rPr>
          <w:rFonts w:ascii="Arial" w:hAnsi="Arial" w:cs="Arial"/>
          <w:b/>
        </w:rPr>
      </w:pPr>
      <w:r>
        <w:rPr>
          <w:rFonts w:ascii="Arial" w:hAnsi="Arial" w:cs="Arial"/>
          <w:b/>
        </w:rPr>
        <w:t>Für den beauftragten Jäger ist nur die Angabe wichtig, ab welchem Zeitpunkt er mit negativem Ergebnis über das erlegte Stück verfügen darf.</w:t>
      </w:r>
    </w:p>
    <w:p>
      <w:pPr>
        <w:rPr>
          <w:noProof/>
        </w:rPr>
      </w:pPr>
      <w:r>
        <w:rPr>
          <w:noProof/>
        </w:rPr>
        <w:br w:type="page"/>
      </w:r>
      <w:r>
        <w:rPr>
          <w:noProof/>
        </w:rPr>
        <w:lastRenderedPageBreak/>
        <w:t>Abb. 1</w:t>
      </w:r>
      <w:r>
        <w:rPr>
          <w:noProof/>
        </w:rPr>
        <w:br/>
      </w:r>
    </w:p>
    <w:p>
      <w:pPr>
        <w:rPr>
          <w:noProof/>
        </w:rPr>
      </w:pPr>
    </w:p>
    <w:p>
      <w:pPr>
        <w:rPr>
          <w:noProof/>
        </w:rPr>
      </w:pPr>
      <w:r>
        <w:rPr>
          <w:noProof/>
        </w:rPr>
        <w:drawing>
          <wp:inline distT="0" distB="0" distL="0" distR="0">
            <wp:extent cx="4253948" cy="6156383"/>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02" b="819"/>
                    <a:stretch/>
                  </pic:blipFill>
                  <pic:spPr bwMode="auto">
                    <a:xfrm>
                      <a:off x="0" y="0"/>
                      <a:ext cx="4268039" cy="6176776"/>
                    </a:xfrm>
                    <a:prstGeom prst="rect">
                      <a:avLst/>
                    </a:prstGeom>
                    <a:noFill/>
                    <a:ln>
                      <a:noFill/>
                    </a:ln>
                    <a:extLst>
                      <a:ext uri="{53640926-AAD7-44D8-BBD7-CCE9431645EC}">
                        <a14:shadowObscured xmlns:a14="http://schemas.microsoft.com/office/drawing/2010/main"/>
                      </a:ext>
                    </a:extLst>
                  </pic:spPr>
                </pic:pic>
              </a:graphicData>
            </a:graphic>
          </wp:inline>
        </w:drawing>
      </w:r>
    </w:p>
    <w:p>
      <w:pPr>
        <w:ind w:left="851" w:hanging="851"/>
        <w:jc w:val="both"/>
        <w:rPr>
          <w:sz w:val="20"/>
          <w:szCs w:val="20"/>
          <w:u w:val="single"/>
        </w:rPr>
      </w:pPr>
    </w:p>
    <w:p>
      <w:pPr>
        <w:ind w:left="851" w:hanging="851"/>
        <w:jc w:val="both"/>
        <w:rPr>
          <w:sz w:val="20"/>
          <w:szCs w:val="20"/>
          <w:u w:val="single"/>
        </w:rPr>
      </w:pPr>
    </w:p>
    <w:p>
      <w:pPr>
        <w:ind w:left="851" w:hanging="851"/>
        <w:jc w:val="both"/>
      </w:pPr>
      <w:bookmarkStart w:id="0" w:name="_GoBack"/>
      <w:bookmarkEnd w:id="0"/>
      <w:r>
        <w:rPr>
          <w:sz w:val="20"/>
          <w:szCs w:val="20"/>
          <w:u w:val="single"/>
        </w:rPr>
        <w:t>Hinweis:</w:t>
      </w:r>
      <w:r>
        <w:rPr>
          <w:sz w:val="20"/>
          <w:szCs w:val="20"/>
        </w:rPr>
        <w:tab/>
        <w:t>Die Ausführungen dieses Merkblattes erheben keinen Anspruch auf Vollständigkeit. Einschlägige Rechtsgrundlagen bleiben unberührt. Für weitergehende Informationen wenden Sie sich bitte an Ihre Lebensmittelüberwachungsbehörde.</w:t>
      </w:r>
    </w:p>
    <w:sectPr>
      <w:footerReference w:type="default" r:id="rId9"/>
      <w:pgSz w:w="11906" w:h="16838" w:code="9"/>
      <w:pgMar w:top="1134" w:right="851" w:bottom="113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rPr>
        <w:noProof/>
        <w:sz w:val="14"/>
      </w:rPr>
      <mc:AlternateContent>
        <mc:Choice Requires="wps">
          <w:drawing>
            <wp:anchor distT="0" distB="0" distL="114300" distR="114300" simplePos="0" relativeHeight="251658240" behindDoc="0" locked="1" layoutInCell="1" allowOverlap="1">
              <wp:simplePos x="0" y="0"/>
              <wp:positionH relativeFrom="column">
                <wp:posOffset>-345440</wp:posOffset>
              </wp:positionH>
              <wp:positionV relativeFrom="page">
                <wp:posOffset>7745730</wp:posOffset>
              </wp:positionV>
              <wp:extent cx="340995" cy="2204085"/>
              <wp:effectExtent l="0" t="190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0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MFB-08-1406-CE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609.9pt;width:26.85pt;height:17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QDtQIAALw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" filled="f" stroked="f">
              <v:textbox style="layout-flow:vertical;mso-layout-flow-alt:bottom-to-top">
                <w:txbxContent>
                  <w:p>
                    <w:pPr>
                      <w:rPr>
                        <w:sz w:val="16"/>
                        <w:szCs w:val="16"/>
                      </w:rPr>
                    </w:pPr>
                    <w:r>
                      <w:rPr>
                        <w:sz w:val="16"/>
                        <w:szCs w:val="16"/>
                      </w:rPr>
                      <w:t>MFB-08-1406-CE</w:t>
                    </w:r>
                  </w:p>
                </w:txbxContent>
              </v:textbox>
              <w10:wrap anchory="page"/>
              <w10:anchorlock/>
            </v:shape>
          </w:pict>
        </mc:Fallback>
      </mc:AlternateContent>
    </w:r>
    <w:r>
      <w:rPr>
        <w:rStyle w:val="Seitenzahl"/>
        <w:snapToGrid w:val="0"/>
        <w:sz w:val="14"/>
      </w:rPr>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Pr>
        <w:rStyle w:val="Seitenzahl"/>
        <w:noProof/>
        <w:sz w:val="14"/>
      </w:rPr>
      <w:t>1</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Pr>
        <w:rStyle w:val="Seitenzahl"/>
        <w:noProof/>
        <w:sz w:val="14"/>
      </w:rPr>
      <w:t>3</w:t>
    </w:r>
    <w:r>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7188"/>
    <w:multiLevelType w:val="hybridMultilevel"/>
    <w:tmpl w:val="503C942A"/>
    <w:lvl w:ilvl="0" w:tplc="A77EF7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6D40261"/>
    <w:multiLevelType w:val="hybridMultilevel"/>
    <w:tmpl w:val="A4420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933AC1"/>
    <w:multiLevelType w:val="hybridMultilevel"/>
    <w:tmpl w:val="6B308F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E3791F"/>
    <w:multiLevelType w:val="hybridMultilevel"/>
    <w:tmpl w:val="5734C6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8EB69FB"/>
    <w:multiLevelType w:val="multilevel"/>
    <w:tmpl w:val="CB9CA75A"/>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BAE71BF"/>
    <w:multiLevelType w:val="singleLevel"/>
    <w:tmpl w:val="7082A1F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2E3B98"/>
    <w:multiLevelType w:val="multilevel"/>
    <w:tmpl w:val="049C371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31985834"/>
    <w:multiLevelType w:val="hybridMultilevel"/>
    <w:tmpl w:val="145A16D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34CE6E92"/>
    <w:multiLevelType w:val="hybridMultilevel"/>
    <w:tmpl w:val="6156B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A039AD"/>
    <w:multiLevelType w:val="hybridMultilevel"/>
    <w:tmpl w:val="CEEE20B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DDB442F"/>
    <w:multiLevelType w:val="multilevel"/>
    <w:tmpl w:val="0AD6FCD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B04904"/>
    <w:multiLevelType w:val="hybridMultilevel"/>
    <w:tmpl w:val="C9124B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3B6965"/>
    <w:multiLevelType w:val="hybridMultilevel"/>
    <w:tmpl w:val="229646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CA61107"/>
    <w:multiLevelType w:val="multilevel"/>
    <w:tmpl w:val="C666C658"/>
    <w:lvl w:ilvl="0">
      <w:start w:val="1"/>
      <w:numFmt w:val="decimal"/>
      <w:pStyle w:val="Formatvorlageberschrift1LateinArialKomplexArial"/>
      <w:lvlText w:val="%1"/>
      <w:lvlJc w:val="left"/>
      <w:pPr>
        <w:tabs>
          <w:tab w:val="num" w:pos="851"/>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DA66F39"/>
    <w:multiLevelType w:val="multilevel"/>
    <w:tmpl w:val="0D0A94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0F11212"/>
    <w:multiLevelType w:val="hybridMultilevel"/>
    <w:tmpl w:val="C67289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2B54EC4"/>
    <w:multiLevelType w:val="hybridMultilevel"/>
    <w:tmpl w:val="9EEE838A"/>
    <w:lvl w:ilvl="0" w:tplc="A6187D1C">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4DD1C4C"/>
    <w:multiLevelType w:val="hybridMultilevel"/>
    <w:tmpl w:val="96664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390825"/>
    <w:multiLevelType w:val="hybridMultilevel"/>
    <w:tmpl w:val="2E14FC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4"/>
  </w:num>
  <w:num w:numId="4">
    <w:abstractNumId w:val="5"/>
  </w:num>
  <w:num w:numId="5">
    <w:abstractNumId w:val="4"/>
  </w:num>
  <w:num w:numId="6">
    <w:abstractNumId w:val="6"/>
  </w:num>
  <w:num w:numId="7">
    <w:abstractNumId w:val="10"/>
  </w:num>
  <w:num w:numId="8">
    <w:abstractNumId w:val="14"/>
  </w:num>
  <w:num w:numId="9">
    <w:abstractNumId w:val="14"/>
  </w:num>
  <w:num w:numId="10">
    <w:abstractNumId w:val="14"/>
  </w:num>
  <w:num w:numId="11">
    <w:abstractNumId w:val="1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1"/>
  </w:num>
  <w:num w:numId="26">
    <w:abstractNumId w:val="2"/>
  </w:num>
  <w:num w:numId="27">
    <w:abstractNumId w:val="7"/>
  </w:num>
  <w:num w:numId="28">
    <w:abstractNumId w:val="4"/>
  </w:num>
  <w:num w:numId="29">
    <w:abstractNumId w:val="18"/>
  </w:num>
  <w:num w:numId="30">
    <w:abstractNumId w:val="13"/>
  </w:num>
  <w:num w:numId="31">
    <w:abstractNumId w:val="1"/>
  </w:num>
  <w:num w:numId="32">
    <w:abstractNumId w:val="3"/>
  </w:num>
  <w:num w:numId="33">
    <w:abstractNumId w:val="15"/>
  </w:num>
  <w:num w:numId="34">
    <w:abstractNumId w:val="12"/>
  </w:num>
  <w:num w:numId="35">
    <w:abstractNumId w:val="16"/>
  </w:num>
  <w:num w:numId="36">
    <w:abstractNumId w:val="8"/>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docId w15:val="{9BE4260D-3FF0-44A2-AC8C-77B01403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851"/>
      </w:tabs>
    </w:pPr>
    <w:rPr>
      <w:rFonts w:ascii="Arial" w:hAnsi="Arial" w:cs="Arial"/>
      <w:sz w:val="22"/>
      <w:szCs w:val="22"/>
    </w:rPr>
  </w:style>
  <w:style w:type="paragraph" w:styleId="berschrift1">
    <w:name w:val="heading 1"/>
    <w:basedOn w:val="Standard"/>
    <w:next w:val="Standard"/>
    <w:autoRedefine/>
    <w:qFormat/>
    <w:pPr>
      <w:keepNext/>
      <w:spacing w:before="240" w:after="60"/>
      <w:outlineLvl w:val="0"/>
    </w:pPr>
    <w:rPr>
      <w:smallCaps/>
      <w:kern w:val="32"/>
      <w:sz w:val="24"/>
      <w:szCs w:val="32"/>
      <w:u w:val="single"/>
    </w:rPr>
  </w:style>
  <w:style w:type="paragraph" w:styleId="berschrift2">
    <w:name w:val="heading 2"/>
    <w:basedOn w:val="Standard"/>
    <w:next w:val="Standard"/>
    <w:autoRedefine/>
    <w:qFormat/>
    <w:pPr>
      <w:keepNext/>
      <w:numPr>
        <w:ilvl w:val="1"/>
      </w:numPr>
      <w:tabs>
        <w:tab w:val="num" w:pos="851"/>
      </w:tabs>
      <w:ind w:left="851" w:hanging="851"/>
      <w:jc w:val="both"/>
      <w:outlineLvl w:val="1"/>
    </w:pPr>
    <w:rPr>
      <w:iCs/>
      <w:smallCaps/>
    </w:rPr>
  </w:style>
  <w:style w:type="paragraph" w:styleId="berschrift3">
    <w:name w:val="heading 3"/>
    <w:basedOn w:val="Standard"/>
    <w:next w:val="Standard"/>
    <w:qFormat/>
    <w:pPr>
      <w:keepNext/>
      <w:tabs>
        <w:tab w:val="num" w:pos="720"/>
      </w:tabs>
      <w:spacing w:before="240" w:after="60"/>
      <w:ind w:left="720" w:hanging="720"/>
      <w:outlineLvl w:val="2"/>
    </w:pPr>
    <w:rPr>
      <w:b/>
      <w:bCs/>
      <w:sz w:val="26"/>
      <w:szCs w:val="26"/>
    </w:rPr>
  </w:style>
  <w:style w:type="paragraph" w:styleId="berschrift4">
    <w:name w:val="heading 4"/>
    <w:basedOn w:val="Standard"/>
    <w:next w:val="Standard"/>
    <w:qFormat/>
    <w:pPr>
      <w:keepNext/>
      <w:tabs>
        <w:tab w:val="clear" w:pos="851"/>
        <w:tab w:val="num" w:pos="864"/>
      </w:tabs>
      <w:spacing w:before="240" w:after="60"/>
      <w:ind w:left="864" w:hanging="864"/>
      <w:outlineLvl w:val="3"/>
    </w:pPr>
    <w:rPr>
      <w:b/>
      <w:bCs/>
      <w:sz w:val="28"/>
      <w:szCs w:val="28"/>
    </w:rPr>
  </w:style>
  <w:style w:type="paragraph" w:styleId="berschrift5">
    <w:name w:val="heading 5"/>
    <w:basedOn w:val="Standard"/>
    <w:next w:val="Standard"/>
    <w:qFormat/>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qFormat/>
    <w:pPr>
      <w:tabs>
        <w:tab w:val="num" w:pos="1152"/>
      </w:tabs>
      <w:spacing w:before="240" w:after="60"/>
      <w:ind w:left="1152" w:hanging="1152"/>
      <w:outlineLvl w:val="5"/>
    </w:pPr>
    <w:rPr>
      <w:b/>
      <w:bCs/>
    </w:rPr>
  </w:style>
  <w:style w:type="paragraph" w:styleId="berschrift7">
    <w:name w:val="heading 7"/>
    <w:basedOn w:val="Standard"/>
    <w:next w:val="Standard"/>
    <w:qFormat/>
    <w:pPr>
      <w:tabs>
        <w:tab w:val="num" w:pos="1296"/>
      </w:tabs>
      <w:spacing w:before="240" w:after="60"/>
      <w:ind w:left="1296" w:hanging="1296"/>
      <w:outlineLvl w:val="6"/>
    </w:pPr>
    <w:rPr>
      <w:sz w:val="24"/>
      <w:szCs w:val="24"/>
    </w:rPr>
  </w:style>
  <w:style w:type="paragraph" w:styleId="berschrift8">
    <w:name w:val="heading 8"/>
    <w:basedOn w:val="Standard"/>
    <w:next w:val="Standard"/>
    <w:qFormat/>
    <w:pPr>
      <w:tabs>
        <w:tab w:val="num" w:pos="1440"/>
      </w:tabs>
      <w:spacing w:before="240" w:after="60"/>
      <w:ind w:left="1440" w:hanging="1440"/>
      <w:outlineLvl w:val="7"/>
    </w:pPr>
    <w:rPr>
      <w:i/>
      <w:iCs/>
      <w:sz w:val="24"/>
      <w:szCs w:val="24"/>
    </w:rPr>
  </w:style>
  <w:style w:type="paragraph" w:styleId="berschrift9">
    <w:name w:val="heading 9"/>
    <w:basedOn w:val="Standard"/>
    <w:next w:val="Standard"/>
    <w:qFormat/>
    <w:pPr>
      <w:tabs>
        <w:tab w:val="num" w:pos="1584"/>
      </w:tabs>
      <w:spacing w:before="240" w:after="60"/>
      <w:ind w:left="1584" w:hanging="1584"/>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Vorgabetext">
    <w:name w:val="Vorgabetext"/>
    <w:basedOn w:val="Standard"/>
    <w:rPr>
      <w:sz w:val="24"/>
      <w:szCs w:val="24"/>
    </w:rPr>
  </w:style>
  <w:style w:type="table" w:styleId="Tabellenraster">
    <w:name w:val="Table Grid"/>
    <w:basedOn w:val="NormaleTabelle"/>
    <w:pPr>
      <w:overflowPunct w:val="0"/>
      <w:autoSpaceDE w:val="0"/>
      <w:autoSpaceDN w:val="0"/>
      <w:adjustRightInd w:val="0"/>
      <w:spacing w:after="6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1"/>
    </w:pPr>
    <w:rPr>
      <w:rFonts w:ascii="Frutiger 45 Light" w:hAnsi="Frutiger 45 Light" w:cs="Times New Roman"/>
      <w:sz w:val="24"/>
      <w:szCs w:val="24"/>
    </w:rPr>
  </w:style>
  <w:style w:type="paragraph" w:customStyle="1" w:styleId="Formatvorlageberschrift1LateinArialKomplexArial">
    <w:name w:val="Formatvorlage Überschrift 1 + (Latein) Arial (Komplex) Arial"/>
    <w:basedOn w:val="berschrift1"/>
    <w:autoRedefine/>
    <w:pPr>
      <w:keepNext w:val="0"/>
      <w:widowControl w:val="0"/>
      <w:numPr>
        <w:numId w:val="30"/>
      </w:numPr>
      <w:spacing w:before="0" w:after="0"/>
    </w:pPr>
    <w:rPr>
      <w:b/>
      <w:bCs/>
      <w:smallCaps w:val="0"/>
      <w:kern w:val="0"/>
      <w:sz w:val="22"/>
      <w:szCs w:val="22"/>
    </w:rPr>
  </w:style>
  <w:style w:type="paragraph" w:customStyle="1" w:styleId="Standardfett">
    <w:name w:val="Standard_fett"/>
    <w:basedOn w:val="Standard"/>
    <w:autoRedefine/>
    <w:rPr>
      <w:b/>
      <w:bCs/>
    </w:rPr>
  </w:style>
  <w:style w:type="paragraph" w:customStyle="1" w:styleId="Ueberschr">
    <w:name w:val="Ueberschr"/>
    <w:basedOn w:val="Standard"/>
    <w:pPr>
      <w:keepNext/>
      <w:tabs>
        <w:tab w:val="clear" w:pos="851"/>
        <w:tab w:val="left" w:pos="1418"/>
      </w:tabs>
      <w:overflowPunct w:val="0"/>
      <w:autoSpaceDE w:val="0"/>
      <w:autoSpaceDN w:val="0"/>
      <w:adjustRightInd w:val="0"/>
      <w:spacing w:after="200"/>
      <w:ind w:left="1418" w:right="284" w:hanging="1134"/>
      <w:jc w:val="both"/>
      <w:textAlignment w:val="baseline"/>
    </w:pPr>
    <w:rPr>
      <w:rFonts w:ascii="Helvetica" w:hAnsi="Helvetica" w:cs="Helvetica"/>
      <w:b/>
      <w:bCs/>
      <w:sz w:val="20"/>
      <w:szCs w:val="20"/>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tabs>
        <w:tab w:val="clear" w:pos="851"/>
      </w:tabs>
      <w:spacing w:after="200" w:line="276" w:lineRule="auto"/>
      <w:ind w:left="720"/>
      <w:contextualSpacing/>
    </w:pPr>
    <w:rPr>
      <w:rFonts w:ascii="Calibri" w:hAnsi="Calibri" w:cs="Times New Roman"/>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basedOn w:val="Absatz-Standardschriftart"/>
    <w:link w:val="Textkrper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59\01_Allgemeiner_Dienstbetrieb\01_EQUINO\04_Dokumentvorlagen\Merkbl&#228;tter_M-Dokumente\Merkblatt%20Trichinenprobenahme%20durch%20den%20beauftragten%20J&#228;ger%20MFB-08-1406-C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Merkblatt Trichinenprobenahme durch den beauftragten Jäger MFB-08-1406-CE.dotx</Template>
  <TotalTime>0</TotalTime>
  <Pages>3</Pages>
  <Words>762</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ZIEL</vt:lpstr>
    </vt:vector>
  </TitlesOfParts>
  <Company>siraTec</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dc:title>
  <dc:creator>Pechmann, Katharina</dc:creator>
  <cp:lastModifiedBy>Pechmann, Katharina</cp:lastModifiedBy>
  <cp:revision>3</cp:revision>
  <cp:lastPrinted>2022-12-13T14:09:00Z</cp:lastPrinted>
  <dcterms:created xsi:type="dcterms:W3CDTF">2023-02-16T14:08:00Z</dcterms:created>
  <dcterms:modified xsi:type="dcterms:W3CDTF">2023-02-16T14:31:00Z</dcterms:modified>
</cp:coreProperties>
</file>