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284"/>
          <w:tab w:val="left" w:pos="993"/>
          <w:tab w:val="decimal" w:pos="6662"/>
          <w:tab w:val="decimal" w:pos="8222"/>
        </w:tabs>
        <w:jc w:val="center"/>
        <w:rPr>
          <w:rFonts w:ascii="Arial" w:hAnsi="Arial"/>
          <w:b/>
          <w:sz w:val="32"/>
          <w:szCs w:val="32"/>
        </w:rPr>
      </w:pPr>
      <w:bookmarkStart w:id="0" w:name="_GoBack"/>
      <w:bookmarkEnd w:id="0"/>
    </w:p>
    <w:p>
      <w:pPr>
        <w:tabs>
          <w:tab w:val="left" w:pos="284"/>
          <w:tab w:val="left" w:pos="993"/>
          <w:tab w:val="decimal" w:pos="6662"/>
          <w:tab w:val="decimal" w:pos="8222"/>
        </w:tabs>
        <w:jc w:val="center"/>
        <w:rPr>
          <w:rFonts w:ascii="Arial" w:hAnsi="Arial"/>
          <w:b/>
          <w:sz w:val="32"/>
          <w:szCs w:val="32"/>
        </w:rPr>
      </w:pPr>
      <w:r>
        <w:rPr>
          <w:rFonts w:ascii="Arial" w:hAnsi="Arial"/>
          <w:b/>
          <w:sz w:val="32"/>
          <w:szCs w:val="32"/>
        </w:rPr>
        <w:t>Gebührenübersicht für Leistungen des Umweltlabors</w:t>
      </w:r>
    </w:p>
    <w:p>
      <w:pPr>
        <w:autoSpaceDE w:val="0"/>
        <w:autoSpaceDN w:val="0"/>
        <w:adjustRightInd w:val="0"/>
        <w:spacing w:after="0" w:line="240" w:lineRule="auto"/>
        <w:rPr>
          <w:rFonts w:ascii="Arial" w:hAnsi="Arial" w:cs="Arial"/>
          <w:b/>
          <w:bCs/>
          <w:lang w:eastAsia="de-DE"/>
        </w:rPr>
      </w:pPr>
      <w:r>
        <w:rPr>
          <w:rFonts w:ascii="Arial" w:hAnsi="Arial" w:cs="Arial"/>
          <w:b/>
          <w:bCs/>
          <w:lang w:eastAsia="de-DE"/>
        </w:rPr>
        <w:t>Standort: Abfallentsorgungsanlage Höfer</w:t>
      </w:r>
    </w:p>
    <w:p>
      <w:pPr>
        <w:autoSpaceDE w:val="0"/>
        <w:autoSpaceDN w:val="0"/>
        <w:adjustRightInd w:val="0"/>
        <w:spacing w:after="0" w:line="240" w:lineRule="auto"/>
        <w:rPr>
          <w:rFonts w:ascii="Arial" w:hAnsi="Arial" w:cs="Arial"/>
          <w:lang w:eastAsia="de-DE"/>
        </w:rPr>
      </w:pPr>
      <w:r>
        <w:rPr>
          <w:rFonts w:ascii="Arial" w:hAnsi="Arial" w:cs="Arial"/>
          <w:lang w:eastAsia="de-DE"/>
        </w:rPr>
        <w:t>Postanschrift: Alte Heide, 29348 Scharnhorst</w:t>
      </w:r>
    </w:p>
    <w:p>
      <w:pPr>
        <w:autoSpaceDE w:val="0"/>
        <w:autoSpaceDN w:val="0"/>
        <w:adjustRightInd w:val="0"/>
        <w:spacing w:after="0" w:line="240" w:lineRule="auto"/>
        <w:rPr>
          <w:rFonts w:ascii="Arial" w:hAnsi="Arial" w:cs="Arial"/>
          <w:lang w:eastAsia="de-DE"/>
        </w:rPr>
      </w:pPr>
    </w:p>
    <w:p>
      <w:pPr>
        <w:autoSpaceDE w:val="0"/>
        <w:autoSpaceDN w:val="0"/>
        <w:adjustRightInd w:val="0"/>
        <w:spacing w:after="0" w:line="240" w:lineRule="auto"/>
        <w:rPr>
          <w:rFonts w:ascii="Arial" w:hAnsi="Arial" w:cs="Arial"/>
          <w:lang w:eastAsia="de-DE"/>
        </w:rPr>
      </w:pPr>
    </w:p>
    <w:p>
      <w:pPr>
        <w:autoSpaceDE w:val="0"/>
        <w:autoSpaceDN w:val="0"/>
        <w:adjustRightInd w:val="0"/>
        <w:spacing w:after="0" w:line="240" w:lineRule="auto"/>
        <w:rPr>
          <w:rFonts w:ascii="Arial" w:hAnsi="Arial" w:cs="Arial"/>
          <w:b/>
          <w:bCs/>
          <w:lang w:eastAsia="de-DE"/>
        </w:rPr>
      </w:pPr>
      <w:r>
        <w:rPr>
          <w:rFonts w:ascii="Arial" w:hAnsi="Arial" w:cs="Arial"/>
          <w:b/>
          <w:bCs/>
          <w:lang w:eastAsia="de-DE"/>
        </w:rPr>
        <w:t xml:space="preserve">Öffnungszeiten: </w:t>
      </w:r>
    </w:p>
    <w:p>
      <w:pPr>
        <w:autoSpaceDE w:val="0"/>
        <w:autoSpaceDN w:val="0"/>
        <w:adjustRightInd w:val="0"/>
        <w:spacing w:after="0" w:line="240" w:lineRule="auto"/>
        <w:rPr>
          <w:rFonts w:ascii="Arial" w:hAnsi="Arial" w:cs="Arial"/>
          <w:lang w:eastAsia="de-DE"/>
        </w:rPr>
      </w:pPr>
      <w:r>
        <w:rPr>
          <w:rFonts w:ascii="Arial" w:hAnsi="Arial" w:cs="Arial"/>
          <w:lang w:eastAsia="de-DE"/>
        </w:rPr>
        <w:t>Montag bis Donnerstag: 8:00 – 15:00 Uhr</w:t>
      </w:r>
    </w:p>
    <w:p>
      <w:pPr>
        <w:autoSpaceDE w:val="0"/>
        <w:autoSpaceDN w:val="0"/>
        <w:adjustRightInd w:val="0"/>
        <w:spacing w:after="0" w:line="240" w:lineRule="auto"/>
        <w:rPr>
          <w:rFonts w:ascii="Arial" w:hAnsi="Arial" w:cs="Arial"/>
          <w:lang w:eastAsia="de-DE"/>
        </w:rPr>
      </w:pPr>
      <w:r>
        <w:rPr>
          <w:rFonts w:ascii="Arial" w:hAnsi="Arial" w:cs="Arial"/>
          <w:lang w:eastAsia="de-DE"/>
        </w:rPr>
        <w:t xml:space="preserve">Freitag: </w:t>
      </w:r>
      <w:r>
        <w:rPr>
          <w:rFonts w:ascii="Arial" w:hAnsi="Arial" w:cs="Arial"/>
          <w:lang w:eastAsia="de-DE"/>
        </w:rPr>
        <w:tab/>
        <w:t xml:space="preserve">   </w:t>
      </w:r>
      <w:r>
        <w:rPr>
          <w:rFonts w:ascii="Arial" w:hAnsi="Arial" w:cs="Arial"/>
          <w:lang w:eastAsia="de-DE"/>
        </w:rPr>
        <w:tab/>
        <w:t xml:space="preserve">     8:00 – 13:00 Uhr</w:t>
      </w:r>
    </w:p>
    <w:p>
      <w:pPr>
        <w:autoSpaceDE w:val="0"/>
        <w:autoSpaceDN w:val="0"/>
        <w:adjustRightInd w:val="0"/>
        <w:spacing w:after="0" w:line="240" w:lineRule="auto"/>
        <w:rPr>
          <w:rFonts w:ascii="Arial" w:hAnsi="Arial" w:cs="Arial"/>
          <w:lang w:eastAsia="de-DE"/>
        </w:rPr>
      </w:pPr>
    </w:p>
    <w:p>
      <w:pPr>
        <w:autoSpaceDE w:val="0"/>
        <w:autoSpaceDN w:val="0"/>
        <w:adjustRightInd w:val="0"/>
        <w:spacing w:after="0" w:line="240" w:lineRule="auto"/>
        <w:rPr>
          <w:rFonts w:ascii="Arial" w:hAnsi="Arial" w:cs="Arial"/>
          <w:lang w:eastAsia="de-DE"/>
        </w:rPr>
      </w:pPr>
      <w:r>
        <w:rPr>
          <w:rFonts w:ascii="Arial" w:hAnsi="Arial" w:cs="Arial"/>
          <w:b/>
          <w:bCs/>
          <w:lang w:eastAsia="de-DE"/>
        </w:rPr>
        <w:t>Telefon</w:t>
      </w:r>
      <w:r>
        <w:rPr>
          <w:rFonts w:ascii="Arial" w:hAnsi="Arial" w:cs="Arial"/>
          <w:lang w:eastAsia="de-DE"/>
        </w:rPr>
        <w:t>: 05141/ 9166670</w:t>
      </w:r>
    </w:p>
    <w:p>
      <w:pPr>
        <w:autoSpaceDE w:val="0"/>
        <w:autoSpaceDN w:val="0"/>
        <w:adjustRightInd w:val="0"/>
        <w:spacing w:after="0" w:line="240" w:lineRule="auto"/>
        <w:rPr>
          <w:rFonts w:ascii="Arial" w:hAnsi="Arial" w:cs="Arial"/>
          <w:lang w:eastAsia="de-DE"/>
        </w:rPr>
      </w:pPr>
      <w:r>
        <w:rPr>
          <w:rFonts w:ascii="Arial" w:hAnsi="Arial" w:cs="Arial"/>
          <w:b/>
          <w:bCs/>
          <w:lang w:eastAsia="de-DE"/>
        </w:rPr>
        <w:t xml:space="preserve">Telefax: </w:t>
      </w:r>
      <w:r>
        <w:rPr>
          <w:rFonts w:ascii="Arial" w:hAnsi="Arial" w:cs="Arial"/>
          <w:lang w:eastAsia="de-DE"/>
        </w:rPr>
        <w:t>05141/ 9166698</w:t>
      </w:r>
    </w:p>
    <w:p>
      <w:pPr>
        <w:autoSpaceDE w:val="0"/>
        <w:autoSpaceDN w:val="0"/>
        <w:adjustRightInd w:val="0"/>
        <w:spacing w:after="0" w:line="240" w:lineRule="auto"/>
        <w:rPr>
          <w:rFonts w:ascii="Arial" w:hAnsi="Arial" w:cs="Arial"/>
          <w:b/>
          <w:bCs/>
          <w:lang w:eastAsia="de-DE"/>
        </w:rPr>
      </w:pPr>
    </w:p>
    <w:p>
      <w:pPr>
        <w:autoSpaceDE w:val="0"/>
        <w:autoSpaceDN w:val="0"/>
        <w:adjustRightInd w:val="0"/>
        <w:spacing w:after="0" w:line="240" w:lineRule="auto"/>
        <w:rPr>
          <w:rFonts w:ascii="Arial" w:hAnsi="Arial" w:cs="Arial"/>
          <w:b/>
          <w:bCs/>
          <w:lang w:eastAsia="de-DE"/>
        </w:rPr>
      </w:pPr>
      <w:r>
        <w:rPr>
          <w:rFonts w:ascii="Arial" w:hAnsi="Arial" w:cs="Arial"/>
          <w:b/>
          <w:bCs/>
          <w:lang w:eastAsia="de-DE"/>
        </w:rPr>
        <w:t>Internet:</w:t>
      </w:r>
    </w:p>
    <w:p>
      <w:pPr>
        <w:autoSpaceDE w:val="0"/>
        <w:autoSpaceDN w:val="0"/>
        <w:adjustRightInd w:val="0"/>
        <w:spacing w:after="0" w:line="240" w:lineRule="auto"/>
        <w:rPr>
          <w:rFonts w:ascii="Arial" w:hAnsi="Arial" w:cs="Arial"/>
          <w:b/>
          <w:bCs/>
          <w:lang w:eastAsia="de-DE"/>
        </w:rPr>
      </w:pPr>
    </w:p>
    <w:p>
      <w:pPr>
        <w:autoSpaceDE w:val="0"/>
        <w:autoSpaceDN w:val="0"/>
        <w:adjustRightInd w:val="0"/>
        <w:spacing w:after="0" w:line="240" w:lineRule="auto"/>
        <w:rPr>
          <w:rFonts w:ascii="Arial" w:hAnsi="Arial" w:cs="Arial"/>
          <w:lang w:eastAsia="de-DE"/>
        </w:rPr>
      </w:pPr>
      <w:r>
        <w:rPr>
          <w:rFonts w:ascii="Arial" w:hAnsi="Arial" w:cs="Arial"/>
          <w:lang w:eastAsia="de-DE"/>
        </w:rPr>
        <w:t>http://</w:t>
      </w:r>
      <w:r>
        <w:rPr>
          <w:rFonts w:ascii="Arial" w:hAnsi="Arial" w:cs="Arial"/>
        </w:rPr>
        <w:t xml:space="preserve"> </w:t>
      </w:r>
      <w:hyperlink r:id="rId8" w:history="1">
        <w:r>
          <w:rPr>
            <w:rStyle w:val="Hyperlink"/>
            <w:rFonts w:ascii="Arial" w:hAnsi="Arial" w:cs="Arial"/>
            <w:lang w:eastAsia="de-DE"/>
          </w:rPr>
          <w:t>www.landkreis-celle.de/kreisverwaltung/umwelt-und-laendlicher-raum/umweltlabor.html</w:t>
        </w:r>
      </w:hyperlink>
    </w:p>
    <w:p>
      <w:pPr>
        <w:autoSpaceDE w:val="0"/>
        <w:autoSpaceDN w:val="0"/>
        <w:adjustRightInd w:val="0"/>
        <w:spacing w:after="0" w:line="240" w:lineRule="auto"/>
        <w:rPr>
          <w:rFonts w:ascii="Arial" w:hAnsi="Arial" w:cs="Arial"/>
          <w:lang w:eastAsia="de-DE"/>
        </w:rPr>
      </w:pPr>
    </w:p>
    <w:p>
      <w:pPr>
        <w:tabs>
          <w:tab w:val="left" w:pos="284"/>
          <w:tab w:val="left" w:pos="993"/>
          <w:tab w:val="decimal" w:pos="6662"/>
          <w:tab w:val="decimal" w:pos="8222"/>
        </w:tabs>
        <w:jc w:val="center"/>
        <w:rPr>
          <w:rFonts w:ascii="Arial" w:hAnsi="Arial" w:cs="Arial"/>
          <w:lang w:eastAsia="de-DE"/>
        </w:rPr>
      </w:pPr>
    </w:p>
    <w:p>
      <w:pPr>
        <w:tabs>
          <w:tab w:val="left" w:pos="284"/>
          <w:tab w:val="left" w:pos="993"/>
          <w:tab w:val="decimal" w:pos="6662"/>
          <w:tab w:val="decimal" w:pos="8222"/>
        </w:tabs>
        <w:jc w:val="center"/>
        <w:rPr>
          <w:rFonts w:ascii="Arial" w:eastAsia="Times New Roman" w:hAnsi="Arial" w:cs="Arial"/>
          <w:lang w:eastAsia="de-DE"/>
        </w:rPr>
      </w:pPr>
      <w:r>
        <w:rPr>
          <w:rFonts w:ascii="Arial" w:hAnsi="Arial" w:cs="Arial"/>
          <w:lang w:eastAsia="de-DE"/>
        </w:rPr>
        <w:t xml:space="preserve">Die Gebühren für die Untersuchungen richten sich nach der Gebührenordnung des </w:t>
      </w:r>
      <w:r>
        <w:rPr>
          <w:rFonts w:ascii="Arial" w:eastAsia="Times New Roman" w:hAnsi="Arial" w:cs="Arial"/>
          <w:lang w:eastAsia="de-DE"/>
        </w:rPr>
        <w:t>Landkreises Celle</w:t>
      </w:r>
    </w:p>
    <w:p>
      <w:pPr>
        <w:tabs>
          <w:tab w:val="left" w:pos="284"/>
          <w:tab w:val="left" w:pos="993"/>
          <w:tab w:val="decimal" w:pos="6662"/>
          <w:tab w:val="decimal" w:pos="8222"/>
        </w:tabs>
        <w:spacing w:after="0" w:line="240" w:lineRule="auto"/>
        <w:jc w:val="center"/>
        <w:rPr>
          <w:rFonts w:ascii="Arial" w:eastAsia="Times New Roman" w:hAnsi="Arial" w:cs="Arial"/>
          <w:lang w:eastAsia="de-DE"/>
        </w:rPr>
      </w:pPr>
      <w:r>
        <w:rPr>
          <w:rFonts w:ascii="Arial" w:eastAsia="Times New Roman" w:hAnsi="Arial" w:cs="Arial"/>
          <w:lang w:eastAsia="de-DE"/>
        </w:rPr>
        <w:t>- gültig ab 01.01.2023 –</w:t>
      </w:r>
    </w:p>
    <w:p>
      <w:pPr>
        <w:tabs>
          <w:tab w:val="left" w:pos="284"/>
          <w:tab w:val="left" w:pos="993"/>
          <w:tab w:val="decimal" w:pos="6662"/>
          <w:tab w:val="decimal" w:pos="8222"/>
        </w:tabs>
        <w:spacing w:after="0" w:line="240" w:lineRule="auto"/>
        <w:jc w:val="center"/>
        <w:rPr>
          <w:rFonts w:ascii="Arial" w:eastAsia="Times New Roman" w:hAnsi="Arial" w:cs="Arial"/>
          <w:lang w:eastAsia="de-DE"/>
        </w:rPr>
      </w:pPr>
    </w:p>
    <w:p>
      <w:pPr>
        <w:tabs>
          <w:tab w:val="left" w:pos="284"/>
          <w:tab w:val="left" w:pos="993"/>
          <w:tab w:val="decimal" w:pos="6662"/>
          <w:tab w:val="decimal" w:pos="8222"/>
        </w:tabs>
        <w:spacing w:after="0" w:line="240" w:lineRule="auto"/>
        <w:jc w:val="both"/>
        <w:rPr>
          <w:rFonts w:ascii="Arial" w:eastAsia="Times New Roman" w:hAnsi="Arial"/>
          <w:lang w:eastAsia="de-DE"/>
        </w:rPr>
      </w:pPr>
      <w:r>
        <w:rPr>
          <w:rFonts w:ascii="Arial" w:eastAsia="Times New Roman" w:hAnsi="Arial"/>
          <w:lang w:eastAsia="de-DE"/>
        </w:rPr>
        <w:t xml:space="preserve">(nach Verordnung über die Gebühren und Auslagen für Amtshandlungen und Leistungen Allgemeine Gebührenordnung - </w:t>
      </w:r>
      <w:proofErr w:type="spellStart"/>
      <w:r>
        <w:rPr>
          <w:rFonts w:ascii="Arial" w:eastAsia="Times New Roman" w:hAnsi="Arial"/>
          <w:lang w:eastAsia="de-DE"/>
        </w:rPr>
        <w:t>AllGO</w:t>
      </w:r>
      <w:proofErr w:type="spellEnd"/>
      <w:r>
        <w:rPr>
          <w:rFonts w:ascii="Arial" w:eastAsia="Times New Roman" w:hAnsi="Arial"/>
          <w:lang w:eastAsia="de-DE"/>
        </w:rPr>
        <w:t>) in der zurzeit gültigen Fassung und der Verordnung über Gebühren der wasser- und</w:t>
      </w:r>
      <w:r>
        <w:t xml:space="preserve"> </w:t>
      </w:r>
      <w:r>
        <w:rPr>
          <w:rFonts w:ascii="Arial" w:eastAsia="Times New Roman" w:hAnsi="Arial"/>
          <w:lang w:eastAsia="de-DE"/>
        </w:rPr>
        <w:t>abfallrechtlichen Überwachung (GOU) vom 02.08.2007)</w:t>
      </w:r>
    </w:p>
    <w:p>
      <w:pPr>
        <w:tabs>
          <w:tab w:val="left" w:pos="284"/>
          <w:tab w:val="left" w:pos="993"/>
          <w:tab w:val="decimal" w:pos="6662"/>
          <w:tab w:val="decimal" w:pos="8222"/>
        </w:tabs>
        <w:spacing w:after="0" w:line="240" w:lineRule="auto"/>
        <w:jc w:val="both"/>
        <w:rPr>
          <w:rFonts w:ascii="Arial" w:eastAsia="Times New Roman" w:hAnsi="Arial"/>
          <w:lang w:eastAsia="de-DE"/>
        </w:rPr>
      </w:pPr>
    </w:p>
    <w:p>
      <w:pPr>
        <w:tabs>
          <w:tab w:val="left" w:pos="284"/>
          <w:tab w:val="left" w:pos="993"/>
          <w:tab w:val="decimal" w:pos="6662"/>
          <w:tab w:val="decimal" w:pos="8222"/>
        </w:tabs>
        <w:spacing w:after="0" w:line="240" w:lineRule="auto"/>
        <w:jc w:val="both"/>
        <w:rPr>
          <w:rFonts w:ascii="Arial" w:eastAsia="Times New Roman" w:hAnsi="Arial"/>
          <w:sz w:val="18"/>
          <w:szCs w:val="18"/>
          <w:lang w:eastAsia="de-DE"/>
        </w:rPr>
      </w:pPr>
    </w:p>
    <w:p>
      <w:pPr>
        <w:tabs>
          <w:tab w:val="left" w:pos="284"/>
          <w:tab w:val="left" w:pos="993"/>
          <w:tab w:val="decimal" w:pos="6662"/>
          <w:tab w:val="decimal" w:pos="8222"/>
        </w:tabs>
        <w:spacing w:after="0" w:line="240" w:lineRule="auto"/>
        <w:jc w:val="both"/>
        <w:rPr>
          <w:rFonts w:ascii="Arial" w:eastAsia="Times New Roman" w:hAnsi="Arial"/>
          <w:sz w:val="18"/>
          <w:szCs w:val="18"/>
          <w:lang w:eastAsia="de-DE"/>
        </w:rPr>
      </w:pPr>
    </w:p>
    <w:p>
      <w:pPr>
        <w:tabs>
          <w:tab w:val="left" w:pos="284"/>
          <w:tab w:val="left" w:pos="993"/>
          <w:tab w:val="decimal" w:pos="6662"/>
          <w:tab w:val="decimal" w:pos="8222"/>
        </w:tabs>
        <w:spacing w:after="0" w:line="240" w:lineRule="auto"/>
        <w:jc w:val="both"/>
        <w:rPr>
          <w:rFonts w:ascii="Arial" w:eastAsia="Times New Roman" w:hAnsi="Arial"/>
          <w:sz w:val="18"/>
          <w:szCs w:val="18"/>
          <w:lang w:eastAsia="de-DE"/>
        </w:rPr>
      </w:pPr>
    </w:p>
    <w:p>
      <w:pPr>
        <w:pStyle w:val="Listenabsatz"/>
        <w:numPr>
          <w:ilvl w:val="0"/>
          <w:numId w:val="2"/>
        </w:numPr>
        <w:autoSpaceDE w:val="0"/>
        <w:autoSpaceDN w:val="0"/>
        <w:adjustRightInd w:val="0"/>
        <w:spacing w:after="0" w:line="240" w:lineRule="auto"/>
        <w:jc w:val="both"/>
        <w:rPr>
          <w:rFonts w:ascii="Arial" w:hAnsi="Arial" w:cs="Arial"/>
          <w:b/>
          <w:sz w:val="24"/>
          <w:szCs w:val="24"/>
          <w:lang w:eastAsia="de-DE"/>
        </w:rPr>
      </w:pPr>
      <w:r>
        <w:rPr>
          <w:rFonts w:ascii="Arial" w:hAnsi="Arial" w:cs="Arial"/>
          <w:b/>
          <w:sz w:val="24"/>
          <w:szCs w:val="24"/>
          <w:lang w:eastAsia="de-DE"/>
        </w:rPr>
        <w:t xml:space="preserve">Hinweise </w:t>
      </w:r>
    </w:p>
    <w:p>
      <w:pPr>
        <w:autoSpaceDE w:val="0"/>
        <w:autoSpaceDN w:val="0"/>
        <w:adjustRightInd w:val="0"/>
        <w:spacing w:after="0" w:line="240" w:lineRule="auto"/>
        <w:jc w:val="both"/>
        <w:rPr>
          <w:rFonts w:ascii="Arial" w:hAnsi="Arial" w:cs="Arial"/>
          <w:lang w:eastAsia="de-DE"/>
        </w:rPr>
      </w:pPr>
    </w:p>
    <w:p>
      <w:pPr>
        <w:autoSpaceDE w:val="0"/>
        <w:autoSpaceDN w:val="0"/>
        <w:adjustRightInd w:val="0"/>
        <w:spacing w:after="0" w:line="240" w:lineRule="auto"/>
        <w:jc w:val="both"/>
        <w:rPr>
          <w:rFonts w:ascii="Arial" w:hAnsi="Arial" w:cs="Arial"/>
          <w:lang w:eastAsia="de-DE"/>
        </w:rPr>
      </w:pPr>
      <w:r>
        <w:rPr>
          <w:rFonts w:ascii="Arial" w:hAnsi="Arial" w:cs="Arial"/>
          <w:lang w:eastAsia="de-DE"/>
        </w:rPr>
        <w:t>Unsere Akkreditierung (</w:t>
      </w:r>
      <w:proofErr w:type="spellStart"/>
      <w:r>
        <w:rPr>
          <w:rFonts w:ascii="Arial" w:hAnsi="Arial" w:cs="Arial"/>
          <w:lang w:eastAsia="de-DE"/>
        </w:rPr>
        <w:t>DAkkS</w:t>
      </w:r>
      <w:proofErr w:type="spellEnd"/>
      <w:r>
        <w:rPr>
          <w:rFonts w:ascii="Arial" w:hAnsi="Arial" w:cs="Arial"/>
          <w:lang w:eastAsia="de-DE"/>
        </w:rPr>
        <w:t>, PL-14099-01) bezieht sich jeweils auf die aktuelle Urkunde mit Anlage. Diese Dokumente sind auf unserer Internetseite einsehbar. Untersuchungen außerhalb der Akkreditierung sind im Prüfbericht entsprechend gekennzeichnet. Festlegungen zu Entscheidungsregeln die bei Aussagen zur Konformität von Prüfergebnissen Anwendung finden, sind in der Anlage aufgeführt. Weitere Informationen zur Abschätzung der Messunsicherheit zu den Untersuchungsverfahren stellen wir auf Anfrage zur Verfügung. Der Hinweis auf Fremdvergabe weist die Untersuchung eines Parameters in einem Auftragslaboratorium aus. Alle von uns akzeptierten Untersuchungsaufträge begründen automatisch eine beidseitige Vereinbarung.</w:t>
      </w:r>
    </w:p>
    <w:p>
      <w:pPr>
        <w:autoSpaceDE w:val="0"/>
        <w:autoSpaceDN w:val="0"/>
        <w:adjustRightInd w:val="0"/>
        <w:spacing w:after="0" w:line="240" w:lineRule="auto"/>
        <w:jc w:val="both"/>
        <w:rPr>
          <w:rFonts w:ascii="Arial" w:hAnsi="Arial" w:cs="Arial"/>
          <w:lang w:eastAsia="de-DE"/>
        </w:rPr>
      </w:pPr>
    </w:p>
    <w:p>
      <w:pPr>
        <w:autoSpaceDE w:val="0"/>
        <w:autoSpaceDN w:val="0"/>
        <w:adjustRightInd w:val="0"/>
        <w:spacing w:after="0" w:line="240" w:lineRule="auto"/>
        <w:jc w:val="both"/>
        <w:rPr>
          <w:rFonts w:ascii="Arial" w:hAnsi="Arial" w:cs="Arial"/>
          <w:lang w:eastAsia="de-DE"/>
        </w:rPr>
      </w:pPr>
    </w:p>
    <w:p>
      <w:pPr>
        <w:autoSpaceDE w:val="0"/>
        <w:autoSpaceDN w:val="0"/>
        <w:adjustRightInd w:val="0"/>
        <w:spacing w:after="0" w:line="240" w:lineRule="auto"/>
        <w:jc w:val="both"/>
        <w:rPr>
          <w:rFonts w:ascii="Arial" w:hAnsi="Arial" w:cs="Arial"/>
          <w:lang w:eastAsia="de-DE"/>
        </w:rPr>
      </w:pPr>
    </w:p>
    <w:p>
      <w:pPr>
        <w:autoSpaceDE w:val="0"/>
        <w:autoSpaceDN w:val="0"/>
        <w:adjustRightInd w:val="0"/>
        <w:spacing w:after="0" w:line="240" w:lineRule="auto"/>
        <w:jc w:val="both"/>
        <w:rPr>
          <w:rFonts w:ascii="Arial" w:hAnsi="Arial" w:cs="Arial"/>
          <w:lang w:eastAsia="de-DE"/>
        </w:rPr>
      </w:pPr>
    </w:p>
    <w:p>
      <w:pPr>
        <w:autoSpaceDE w:val="0"/>
        <w:autoSpaceDN w:val="0"/>
        <w:adjustRightInd w:val="0"/>
        <w:spacing w:after="0" w:line="240" w:lineRule="auto"/>
        <w:jc w:val="both"/>
        <w:rPr>
          <w:rFonts w:ascii="Arial" w:hAnsi="Arial" w:cs="Arial"/>
          <w:lang w:eastAsia="de-DE"/>
        </w:rPr>
      </w:pPr>
    </w:p>
    <w:p>
      <w:pPr>
        <w:autoSpaceDE w:val="0"/>
        <w:autoSpaceDN w:val="0"/>
        <w:adjustRightInd w:val="0"/>
        <w:spacing w:after="0" w:line="240" w:lineRule="auto"/>
        <w:jc w:val="both"/>
        <w:rPr>
          <w:rFonts w:ascii="Arial" w:hAnsi="Arial" w:cs="Arial"/>
          <w:lang w:eastAsia="de-DE"/>
        </w:rPr>
      </w:pPr>
    </w:p>
    <w:p>
      <w:pPr>
        <w:pStyle w:val="Listenabsatz"/>
        <w:numPr>
          <w:ilvl w:val="0"/>
          <w:numId w:val="2"/>
        </w:numPr>
        <w:autoSpaceDE w:val="0"/>
        <w:autoSpaceDN w:val="0"/>
        <w:adjustRightInd w:val="0"/>
        <w:spacing w:after="0" w:line="240" w:lineRule="auto"/>
        <w:jc w:val="both"/>
        <w:rPr>
          <w:rFonts w:ascii="Arial" w:hAnsi="Arial" w:cs="Arial"/>
          <w:b/>
          <w:sz w:val="24"/>
          <w:szCs w:val="24"/>
          <w:lang w:eastAsia="de-DE"/>
        </w:rPr>
      </w:pPr>
      <w:r>
        <w:rPr>
          <w:rFonts w:ascii="Arial" w:hAnsi="Arial" w:cs="Arial"/>
          <w:b/>
          <w:sz w:val="24"/>
          <w:szCs w:val="24"/>
          <w:lang w:eastAsia="de-DE"/>
        </w:rPr>
        <w:t>Gebührenübersicht</w:t>
      </w:r>
    </w:p>
    <w:p>
      <w:pPr>
        <w:pStyle w:val="Listenabsatz"/>
        <w:autoSpaceDE w:val="0"/>
        <w:autoSpaceDN w:val="0"/>
        <w:adjustRightInd w:val="0"/>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7"/>
        <w:gridCol w:w="6946"/>
        <w:gridCol w:w="1701"/>
      </w:tblGrid>
      <w:tr>
        <w:tc>
          <w:tcPr>
            <w:tcW w:w="637" w:type="dxa"/>
          </w:tcPr>
          <w:p>
            <w:pPr>
              <w:tabs>
                <w:tab w:val="left" w:pos="284"/>
                <w:tab w:val="left" w:pos="993"/>
                <w:tab w:val="decimal" w:pos="6662"/>
                <w:tab w:val="decimal" w:pos="8222"/>
              </w:tabs>
              <w:rPr>
                <w:rFonts w:ascii="Arial" w:hAnsi="Arial"/>
                <w:b/>
                <w:sz w:val="24"/>
              </w:rPr>
            </w:pPr>
          </w:p>
        </w:tc>
        <w:tc>
          <w:tcPr>
            <w:tcW w:w="6946" w:type="dxa"/>
          </w:tcPr>
          <w:p>
            <w:pPr>
              <w:tabs>
                <w:tab w:val="left" w:pos="284"/>
                <w:tab w:val="left" w:pos="993"/>
                <w:tab w:val="decimal" w:pos="6662"/>
                <w:tab w:val="decimal" w:pos="8222"/>
              </w:tabs>
              <w:rPr>
                <w:rFonts w:ascii="Arial" w:hAnsi="Arial"/>
                <w:sz w:val="24"/>
              </w:rPr>
            </w:pPr>
            <w:r>
              <w:rPr>
                <w:rFonts w:ascii="Arial" w:hAnsi="Arial"/>
                <w:b/>
                <w:sz w:val="24"/>
              </w:rPr>
              <w:t>Parameter</w:t>
            </w:r>
          </w:p>
        </w:tc>
        <w:tc>
          <w:tcPr>
            <w:tcW w:w="1701" w:type="dxa"/>
          </w:tcPr>
          <w:p>
            <w:pPr>
              <w:pStyle w:val="berschrift2"/>
              <w:tabs>
                <w:tab w:val="clear" w:pos="284"/>
                <w:tab w:val="left" w:pos="452"/>
              </w:tabs>
              <w:rPr>
                <w:sz w:val="24"/>
              </w:rPr>
            </w:pPr>
            <w:r>
              <w:rPr>
                <w:sz w:val="24"/>
              </w:rPr>
              <w:t xml:space="preserve">Gebühr </w:t>
            </w:r>
          </w:p>
        </w:tc>
      </w:tr>
      <w:tr>
        <w:trPr>
          <w:trHeight w:val="178"/>
        </w:trPr>
        <w:tc>
          <w:tcPr>
            <w:tcW w:w="637"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2.1.</w:t>
            </w:r>
          </w:p>
        </w:tc>
        <w:tc>
          <w:tcPr>
            <w:tcW w:w="6946"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Probenahme</w:t>
            </w:r>
          </w:p>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Probenahme, An- und Abfahrt je angefangene Viertelstunde</w:t>
            </w:r>
          </w:p>
        </w:tc>
        <w:tc>
          <w:tcPr>
            <w:tcW w:w="1701" w:type="dxa"/>
          </w:tcPr>
          <w:p>
            <w:pPr>
              <w:pStyle w:val="Kopfzeile"/>
              <w:tabs>
                <w:tab w:val="clear" w:pos="4536"/>
                <w:tab w:val="clear" w:pos="9072"/>
                <w:tab w:val="left" w:pos="452"/>
                <w:tab w:val="decimal" w:pos="922"/>
                <w:tab w:val="decimal" w:pos="6662"/>
                <w:tab w:val="decimal" w:pos="8222"/>
              </w:tabs>
              <w:rPr>
                <w:rFonts w:ascii="Arial" w:hAnsi="Arial"/>
              </w:rPr>
            </w:pPr>
            <w:r>
              <w:rPr>
                <w:rFonts w:ascii="Arial" w:hAnsi="Arial"/>
              </w:rPr>
              <w:t xml:space="preserve">  14,25 €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Probenahme Abwasser (Stichprobe, qualifizierte Stichprobe)</w:t>
            </w:r>
          </w:p>
        </w:tc>
        <w:tc>
          <w:tcPr>
            <w:tcW w:w="1701" w:type="dxa"/>
          </w:tcPr>
          <w:p>
            <w:pPr>
              <w:pStyle w:val="Kopfzeile"/>
              <w:tabs>
                <w:tab w:val="clear" w:pos="4536"/>
                <w:tab w:val="clear" w:pos="9072"/>
                <w:tab w:val="left" w:pos="452"/>
                <w:tab w:val="decimal" w:pos="922"/>
                <w:tab w:val="decimal" w:pos="6662"/>
                <w:tab w:val="decimal" w:pos="8222"/>
              </w:tabs>
              <w:rPr>
                <w:rFonts w:ascii="Arial" w:hAnsi="Arial"/>
              </w:rPr>
            </w:pPr>
            <w:r>
              <w:rPr>
                <w:rFonts w:ascii="Arial" w:hAnsi="Arial"/>
              </w:rPr>
              <w:t xml:space="preserve">  55,00 €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Probenahme Grundwasser (Stichprobe, qualifizierte Stichprobe )</w:t>
            </w:r>
          </w:p>
        </w:tc>
        <w:tc>
          <w:tcPr>
            <w:tcW w:w="1701" w:type="dxa"/>
          </w:tcPr>
          <w:p>
            <w:pPr>
              <w:tabs>
                <w:tab w:val="left" w:pos="452"/>
                <w:tab w:val="decimal" w:pos="922"/>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115,00 €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Fahrzeugkosten je An- und Abfahrt innerhalb Landkreis Celle</w:t>
            </w:r>
          </w:p>
        </w:tc>
        <w:tc>
          <w:tcPr>
            <w:tcW w:w="1701" w:type="dxa"/>
          </w:tcPr>
          <w:p>
            <w:pPr>
              <w:tabs>
                <w:tab w:val="left" w:pos="452"/>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9,00 €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Wochenend- und Feiertagzuschlag je Einsatztag</w:t>
            </w:r>
          </w:p>
        </w:tc>
        <w:tc>
          <w:tcPr>
            <w:tcW w:w="1701" w:type="dxa"/>
          </w:tcPr>
          <w:p>
            <w:pPr>
              <w:tabs>
                <w:tab w:val="left" w:pos="452"/>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66,00 €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1701" w:type="dxa"/>
          </w:tcPr>
          <w:p>
            <w:pPr>
              <w:tabs>
                <w:tab w:val="left" w:pos="452"/>
                <w:tab w:val="left" w:pos="993"/>
                <w:tab w:val="decimal" w:pos="6662"/>
                <w:tab w:val="decimal" w:pos="8222"/>
              </w:tabs>
              <w:spacing w:after="0" w:line="240" w:lineRule="auto"/>
              <w:rPr>
                <w:rFonts w:ascii="Arial" w:eastAsia="Times New Roman" w:hAnsi="Arial"/>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2.2.</w:t>
            </w:r>
          </w:p>
        </w:tc>
        <w:tc>
          <w:tcPr>
            <w:tcW w:w="6946"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Physikalische und anorganische Parameter</w:t>
            </w:r>
          </w:p>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roofErr w:type="spellStart"/>
            <w:r>
              <w:rPr>
                <w:rFonts w:ascii="Arial" w:eastAsia="Times New Roman" w:hAnsi="Arial"/>
                <w:sz w:val="20"/>
                <w:szCs w:val="20"/>
                <w:lang w:eastAsia="de-DE"/>
              </w:rPr>
              <w:t>Abfiltrierbare</w:t>
            </w:r>
            <w:proofErr w:type="spellEnd"/>
            <w:r>
              <w:rPr>
                <w:rFonts w:ascii="Arial" w:eastAsia="Times New Roman" w:hAnsi="Arial"/>
                <w:sz w:val="20"/>
                <w:szCs w:val="20"/>
                <w:lang w:eastAsia="de-DE"/>
              </w:rPr>
              <w:t xml:space="preserve"> Stoffe</w:t>
            </w:r>
          </w:p>
        </w:tc>
        <w:tc>
          <w:tcPr>
            <w:tcW w:w="1701" w:type="dxa"/>
          </w:tcPr>
          <w:p>
            <w:pPr>
              <w:tabs>
                <w:tab w:val="left" w:pos="452"/>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Absetzbare Stoffe</w:t>
            </w:r>
          </w:p>
        </w:tc>
        <w:tc>
          <w:tcPr>
            <w:tcW w:w="1701" w:type="dxa"/>
          </w:tcPr>
          <w:p>
            <w:pPr>
              <w:tabs>
                <w:tab w:val="left" w:pos="452"/>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8,18 €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Durchsichtigkeit</w:t>
            </w:r>
          </w:p>
        </w:tc>
        <w:tc>
          <w:tcPr>
            <w:tcW w:w="1701" w:type="dxa"/>
          </w:tcPr>
          <w:p>
            <w:pPr>
              <w:tabs>
                <w:tab w:val="left" w:pos="452"/>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8,18 €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Trockenrückstand</w:t>
            </w:r>
          </w:p>
        </w:tc>
        <w:tc>
          <w:tcPr>
            <w:tcW w:w="1701" w:type="dxa"/>
          </w:tcPr>
          <w:p>
            <w:pPr>
              <w:tabs>
                <w:tab w:val="left" w:pos="452"/>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Glührückstand</w:t>
            </w:r>
          </w:p>
        </w:tc>
        <w:tc>
          <w:tcPr>
            <w:tcW w:w="1701" w:type="dxa"/>
          </w:tcPr>
          <w:p>
            <w:pPr>
              <w:tabs>
                <w:tab w:val="left" w:pos="452"/>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Säurekapazität</w:t>
            </w:r>
          </w:p>
        </w:tc>
        <w:tc>
          <w:tcPr>
            <w:tcW w:w="1701" w:type="dxa"/>
          </w:tcPr>
          <w:p>
            <w:pPr>
              <w:tabs>
                <w:tab w:val="left" w:pos="452"/>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8,18 €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roofErr w:type="spellStart"/>
            <w:r>
              <w:rPr>
                <w:rFonts w:ascii="Arial" w:eastAsia="Times New Roman" w:hAnsi="Arial"/>
                <w:sz w:val="20"/>
                <w:szCs w:val="20"/>
                <w:lang w:eastAsia="de-DE"/>
              </w:rPr>
              <w:t>Basekapazität</w:t>
            </w:r>
            <w:proofErr w:type="spellEnd"/>
          </w:p>
        </w:tc>
        <w:tc>
          <w:tcPr>
            <w:tcW w:w="1701" w:type="dxa"/>
          </w:tcPr>
          <w:p>
            <w:pPr>
              <w:tabs>
                <w:tab w:val="left" w:pos="452"/>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8,18 €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Freie Kohlensäure</w:t>
            </w:r>
          </w:p>
        </w:tc>
        <w:tc>
          <w:tcPr>
            <w:tcW w:w="1701" w:type="dxa"/>
          </w:tcPr>
          <w:p>
            <w:pPr>
              <w:tabs>
                <w:tab w:val="left" w:pos="452"/>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8,18 €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Gesamthärte</w:t>
            </w:r>
          </w:p>
        </w:tc>
        <w:tc>
          <w:tcPr>
            <w:tcW w:w="1701" w:type="dxa"/>
          </w:tcPr>
          <w:p>
            <w:pPr>
              <w:tabs>
                <w:tab w:val="left" w:pos="452"/>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12,20 €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roofErr w:type="spellStart"/>
            <w:r>
              <w:rPr>
                <w:rFonts w:ascii="Arial" w:eastAsia="Times New Roman" w:hAnsi="Arial"/>
                <w:sz w:val="20"/>
                <w:szCs w:val="20"/>
                <w:lang w:eastAsia="de-DE"/>
              </w:rPr>
              <w:t>Karbonathärte</w:t>
            </w:r>
            <w:proofErr w:type="spellEnd"/>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12,20 €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roofErr w:type="spellStart"/>
            <w:r>
              <w:rPr>
                <w:rFonts w:ascii="Arial" w:eastAsia="Times New Roman" w:hAnsi="Arial"/>
                <w:sz w:val="20"/>
                <w:szCs w:val="20"/>
                <w:lang w:eastAsia="de-DE"/>
              </w:rPr>
              <w:t>Calcitlösekapazität</w:t>
            </w:r>
            <w:proofErr w:type="spellEnd"/>
            <w:r>
              <w:rPr>
                <w:rFonts w:ascii="Arial" w:eastAsia="Times New Roman" w:hAnsi="Arial"/>
                <w:sz w:val="20"/>
                <w:szCs w:val="20"/>
                <w:lang w:eastAsia="de-DE"/>
              </w:rPr>
              <w:t xml:space="preserve"> (nur Berechnung)</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15,00 €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Elektr. Leitfähigkeit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8,18 €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pH-Wert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8,18 €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Färbung (qualitativ)</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4,09 €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Färbung bei 436 </w:t>
            </w:r>
            <w:proofErr w:type="spellStart"/>
            <w:r>
              <w:rPr>
                <w:rFonts w:ascii="Arial" w:eastAsia="Times New Roman" w:hAnsi="Arial"/>
                <w:sz w:val="20"/>
                <w:szCs w:val="20"/>
                <w:lang w:eastAsia="de-DE"/>
              </w:rPr>
              <w:t>nm</w:t>
            </w:r>
            <w:proofErr w:type="spellEnd"/>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Spektraler Absorptionskoeffizient bei 254 </w:t>
            </w:r>
            <w:proofErr w:type="spellStart"/>
            <w:r>
              <w:rPr>
                <w:rFonts w:ascii="Arial" w:eastAsia="Times New Roman" w:hAnsi="Arial"/>
                <w:sz w:val="20"/>
                <w:szCs w:val="20"/>
                <w:lang w:eastAsia="de-DE"/>
              </w:rPr>
              <w:t>nm</w:t>
            </w:r>
            <w:proofErr w:type="spellEnd"/>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Geruch</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4,09 €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Geschmack</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4,09 €</w:t>
            </w:r>
          </w:p>
        </w:tc>
      </w:tr>
      <w:tr>
        <w:trPr>
          <w:trHeight w:val="274"/>
        </w:trP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Schwimmstoffe</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4,09 €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Trübung (qualitativ)</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4,09 €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Trübung (quantitativ, FNU)</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Wassertemperatur</w:t>
            </w:r>
            <w:r>
              <w:rPr>
                <w:rFonts w:ascii="Arial" w:eastAsia="Times New Roman" w:hAnsi="Arial"/>
                <w:sz w:val="20"/>
                <w:szCs w:val="20"/>
                <w:lang w:eastAsia="de-DE"/>
              </w:rPr>
              <w:tab/>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4,09 €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2.3.</w:t>
            </w:r>
          </w:p>
        </w:tc>
        <w:tc>
          <w:tcPr>
            <w:tcW w:w="6946"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Gase und verwandte Parameter</w:t>
            </w:r>
          </w:p>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Sauerstoff, gelöst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8,18 €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Chlor, gesamt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6,65 €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Chlor, frei</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6,65 €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2.4.</w:t>
            </w:r>
          </w:p>
        </w:tc>
        <w:tc>
          <w:tcPr>
            <w:tcW w:w="6946"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Summenparameter</w:t>
            </w:r>
          </w:p>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BSB 5</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36,80 €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CSB</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32,70 €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CSB (</w:t>
            </w:r>
            <w:proofErr w:type="spellStart"/>
            <w:r>
              <w:rPr>
                <w:rFonts w:ascii="Arial" w:eastAsia="Times New Roman" w:hAnsi="Arial"/>
                <w:sz w:val="20"/>
                <w:szCs w:val="20"/>
                <w:lang w:eastAsia="de-DE"/>
              </w:rPr>
              <w:t>Küvettentest</w:t>
            </w:r>
            <w:proofErr w:type="spellEnd"/>
            <w:r>
              <w:rPr>
                <w:rFonts w:ascii="Arial" w:eastAsia="Times New Roman" w:hAnsi="Arial"/>
                <w:sz w:val="20"/>
                <w:szCs w:val="20"/>
                <w:lang w:eastAsia="de-DE"/>
              </w:rPr>
              <w: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Oxidierbarkeit (KMnO4)</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DOC</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28,60 €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TOC</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28,60 €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AOX</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49,00 €</w:t>
            </w:r>
          </w:p>
        </w:tc>
      </w:tr>
      <w:tr>
        <w:tc>
          <w:tcPr>
            <w:tcW w:w="637" w:type="dxa"/>
          </w:tcPr>
          <w:p>
            <w:pPr>
              <w:tabs>
                <w:tab w:val="left" w:pos="284"/>
                <w:tab w:val="left" w:pos="993"/>
                <w:tab w:val="decimal" w:pos="6662"/>
                <w:tab w:val="decimal" w:pos="8222"/>
              </w:tabs>
              <w:rPr>
                <w:rFonts w:ascii="Arial" w:hAnsi="Arial"/>
                <w:b/>
                <w:sz w:val="24"/>
              </w:rPr>
            </w:pPr>
          </w:p>
        </w:tc>
        <w:tc>
          <w:tcPr>
            <w:tcW w:w="6946" w:type="dxa"/>
          </w:tcPr>
          <w:p>
            <w:pPr>
              <w:tabs>
                <w:tab w:val="left" w:pos="284"/>
                <w:tab w:val="left" w:pos="993"/>
                <w:tab w:val="decimal" w:pos="6662"/>
                <w:tab w:val="decimal" w:pos="8222"/>
              </w:tabs>
              <w:rPr>
                <w:rFonts w:ascii="Arial" w:hAnsi="Arial"/>
                <w:sz w:val="24"/>
              </w:rPr>
            </w:pPr>
            <w:r>
              <w:rPr>
                <w:rFonts w:ascii="Arial" w:hAnsi="Arial"/>
                <w:b/>
                <w:sz w:val="24"/>
              </w:rPr>
              <w:t>Parameter</w:t>
            </w:r>
          </w:p>
        </w:tc>
        <w:tc>
          <w:tcPr>
            <w:tcW w:w="1701" w:type="dxa"/>
          </w:tcPr>
          <w:p>
            <w:pPr>
              <w:pStyle w:val="berschrift2"/>
              <w:tabs>
                <w:tab w:val="clear" w:pos="284"/>
                <w:tab w:val="left" w:pos="452"/>
              </w:tabs>
              <w:rPr>
                <w:sz w:val="24"/>
              </w:rPr>
            </w:pPr>
            <w:r>
              <w:rPr>
                <w:sz w:val="24"/>
              </w:rPr>
              <w:t xml:space="preserve">Gebühr </w:t>
            </w:r>
          </w:p>
        </w:tc>
      </w:tr>
      <w:tr>
        <w:tc>
          <w:tcPr>
            <w:tcW w:w="637" w:type="dxa"/>
          </w:tcPr>
          <w:p>
            <w:pPr>
              <w:tabs>
                <w:tab w:val="left" w:pos="284"/>
                <w:tab w:val="left" w:pos="993"/>
                <w:tab w:val="decimal" w:pos="6662"/>
                <w:tab w:val="decimal" w:pos="8222"/>
              </w:tabs>
              <w:rPr>
                <w:rFonts w:ascii="Arial" w:hAnsi="Arial"/>
                <w:b/>
                <w:sz w:val="24"/>
              </w:rPr>
            </w:pPr>
          </w:p>
        </w:tc>
        <w:tc>
          <w:tcPr>
            <w:tcW w:w="6946" w:type="dxa"/>
          </w:tcPr>
          <w:p>
            <w:pPr>
              <w:tabs>
                <w:tab w:val="left" w:pos="284"/>
                <w:tab w:val="left" w:pos="993"/>
                <w:tab w:val="decimal" w:pos="6662"/>
                <w:tab w:val="decimal" w:pos="8222"/>
              </w:tabs>
              <w:rPr>
                <w:rFonts w:ascii="Arial" w:hAnsi="Arial"/>
                <w:sz w:val="24"/>
              </w:rPr>
            </w:pPr>
            <w:r>
              <w:rPr>
                <w:rFonts w:ascii="Arial" w:hAnsi="Arial"/>
                <w:b/>
                <w:sz w:val="24"/>
              </w:rPr>
              <w:t>Parameter</w:t>
            </w:r>
          </w:p>
        </w:tc>
        <w:tc>
          <w:tcPr>
            <w:tcW w:w="1701" w:type="dxa"/>
          </w:tcPr>
          <w:p>
            <w:pPr>
              <w:pStyle w:val="berschrift2"/>
              <w:tabs>
                <w:tab w:val="clear" w:pos="284"/>
                <w:tab w:val="left" w:pos="452"/>
              </w:tabs>
              <w:rPr>
                <w:sz w:val="24"/>
              </w:rPr>
            </w:pPr>
            <w:r>
              <w:rPr>
                <w:sz w:val="24"/>
              </w:rPr>
              <w:t xml:space="preserve">Gebühr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Homogenisierung </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8,00 €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left" w:pos="3420"/>
              </w:tabs>
              <w:spacing w:after="0" w:line="240" w:lineRule="auto"/>
              <w:rPr>
                <w:rFonts w:ascii="Arial" w:eastAsia="Times New Roman" w:hAnsi="Arial"/>
                <w:sz w:val="20"/>
                <w:szCs w:val="20"/>
                <w:lang w:val="en-US" w:eastAsia="de-DE"/>
              </w:rPr>
            </w:pPr>
            <w:r>
              <w:rPr>
                <w:rFonts w:ascii="Arial" w:eastAsia="Times New Roman" w:hAnsi="Arial"/>
                <w:sz w:val="20"/>
                <w:szCs w:val="20"/>
                <w:lang w:val="en-US" w:eastAsia="de-DE"/>
              </w:rPr>
              <w:t>Phenol-Index (</w:t>
            </w:r>
            <w:proofErr w:type="spellStart"/>
            <w:r>
              <w:rPr>
                <w:rFonts w:ascii="Arial" w:eastAsia="Times New Roman" w:hAnsi="Arial"/>
                <w:sz w:val="20"/>
                <w:szCs w:val="20"/>
                <w:lang w:val="en-US" w:eastAsia="de-DE"/>
              </w:rPr>
              <w:t>Fremdvergabe</w:t>
            </w:r>
            <w:proofErr w:type="spellEnd"/>
            <w:r>
              <w:rPr>
                <w:rFonts w:ascii="Arial" w:eastAsia="Times New Roman" w:hAnsi="Arial"/>
                <w:sz w:val="20"/>
                <w:szCs w:val="20"/>
                <w:lang w:val="en-US" w:eastAsia="de-DE"/>
              </w:rPr>
              <w:t>)</w:t>
            </w:r>
            <w:r>
              <w:rPr>
                <w:rFonts w:ascii="Arial" w:eastAsia="Times New Roman" w:hAnsi="Arial"/>
                <w:sz w:val="20"/>
                <w:szCs w:val="20"/>
                <w:lang w:val="en-US" w:eastAsia="de-DE"/>
              </w:rPr>
              <w:tab/>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33,32 €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left" w:pos="3420"/>
              </w:tabs>
              <w:spacing w:after="0" w:line="240" w:lineRule="auto"/>
              <w:rPr>
                <w:rFonts w:ascii="Arial" w:eastAsia="Times New Roman" w:hAnsi="Arial"/>
                <w:sz w:val="20"/>
                <w:szCs w:val="20"/>
                <w:lang w:eastAsia="de-DE"/>
              </w:rPr>
            </w:pPr>
            <w:r>
              <w:rPr>
                <w:rFonts w:ascii="Arial" w:eastAsia="Times New Roman" w:hAnsi="Arial"/>
                <w:sz w:val="20"/>
                <w:szCs w:val="20"/>
                <w:lang w:eastAsia="de-DE"/>
              </w:rPr>
              <w:t>Lipophile Stoffe (Fremdvergabe)</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22,61 €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left" w:pos="3420"/>
              </w:tabs>
              <w:spacing w:after="0" w:line="240" w:lineRule="auto"/>
              <w:rPr>
                <w:rFonts w:ascii="Arial" w:eastAsia="Times New Roman" w:hAnsi="Arial"/>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2.5.</w:t>
            </w:r>
          </w:p>
        </w:tc>
        <w:tc>
          <w:tcPr>
            <w:tcW w:w="6946"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Organische Substanzen</w:t>
            </w:r>
          </w:p>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Kohlenwasserstoffe</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81,80 €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val="en-US" w:eastAsia="de-DE"/>
              </w:rPr>
            </w:pPr>
            <w:r>
              <w:rPr>
                <w:rFonts w:ascii="Arial" w:eastAsia="Times New Roman" w:hAnsi="Arial"/>
                <w:sz w:val="20"/>
                <w:szCs w:val="20"/>
                <w:lang w:val="en-US" w:eastAsia="de-DE"/>
              </w:rPr>
              <w:t>THM (</w:t>
            </w:r>
            <w:proofErr w:type="spellStart"/>
            <w:r>
              <w:rPr>
                <w:rFonts w:ascii="Arial" w:eastAsia="Times New Roman" w:hAnsi="Arial"/>
                <w:sz w:val="20"/>
                <w:szCs w:val="20"/>
                <w:lang w:val="en-US" w:eastAsia="de-DE"/>
              </w:rPr>
              <w:t>Fremdvergabe</w:t>
            </w:r>
            <w:proofErr w:type="spellEnd"/>
            <w:r>
              <w:rPr>
                <w:rFonts w:ascii="Arial" w:eastAsia="Times New Roman" w:hAnsi="Arial"/>
                <w:sz w:val="20"/>
                <w:szCs w:val="20"/>
                <w:lang w:val="en-US" w:eastAsia="de-DE"/>
              </w:rPr>
              <w: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val="en-US" w:eastAsia="de-DE"/>
              </w:rPr>
              <w:t xml:space="preserve">  </w:t>
            </w:r>
            <w:r>
              <w:rPr>
                <w:rFonts w:ascii="Arial" w:eastAsia="Times New Roman" w:hAnsi="Arial"/>
                <w:sz w:val="20"/>
                <w:szCs w:val="20"/>
                <w:lang w:eastAsia="de-DE"/>
              </w:rPr>
              <w:t>37,49 €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val="en-US" w:eastAsia="de-DE"/>
              </w:rPr>
            </w:pPr>
            <w:r>
              <w:rPr>
                <w:rFonts w:ascii="Arial" w:eastAsia="Times New Roman" w:hAnsi="Arial"/>
                <w:sz w:val="20"/>
                <w:szCs w:val="20"/>
                <w:lang w:val="en-US" w:eastAsia="de-DE"/>
              </w:rPr>
              <w:t xml:space="preserve">PAK </w:t>
            </w:r>
            <w:proofErr w:type="spellStart"/>
            <w:r>
              <w:rPr>
                <w:rFonts w:ascii="Arial" w:eastAsia="Times New Roman" w:hAnsi="Arial"/>
                <w:sz w:val="20"/>
                <w:szCs w:val="20"/>
                <w:lang w:val="en-US" w:eastAsia="de-DE"/>
              </w:rPr>
              <w:t>TrinkwV</w:t>
            </w:r>
            <w:proofErr w:type="spellEnd"/>
            <w:r>
              <w:rPr>
                <w:rFonts w:ascii="Arial" w:eastAsia="Times New Roman" w:hAnsi="Arial"/>
                <w:sz w:val="20"/>
                <w:szCs w:val="20"/>
                <w:lang w:val="en-US" w:eastAsia="de-DE"/>
              </w:rPr>
              <w:t>, (</w:t>
            </w:r>
            <w:proofErr w:type="spellStart"/>
            <w:r>
              <w:rPr>
                <w:rFonts w:ascii="Arial" w:eastAsia="Times New Roman" w:hAnsi="Arial"/>
                <w:sz w:val="20"/>
                <w:szCs w:val="20"/>
                <w:lang w:val="en-US" w:eastAsia="de-DE"/>
              </w:rPr>
              <w:t>Fremdvergabe</w:t>
            </w:r>
            <w:proofErr w:type="spellEnd"/>
            <w:r>
              <w:rPr>
                <w:rFonts w:ascii="Arial" w:eastAsia="Times New Roman" w:hAnsi="Arial"/>
                <w:sz w:val="20"/>
                <w:szCs w:val="20"/>
                <w:lang w:val="en-US" w:eastAsia="de-DE"/>
              </w:rPr>
              <w: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45,22 €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val="en-US" w:eastAsia="de-DE"/>
              </w:rPr>
            </w:pPr>
            <w:r>
              <w:rPr>
                <w:rFonts w:ascii="Arial" w:eastAsia="Times New Roman" w:hAnsi="Arial"/>
                <w:sz w:val="20"/>
                <w:szCs w:val="20"/>
                <w:lang w:val="en-US" w:eastAsia="de-DE"/>
              </w:rPr>
              <w:t>PCB (</w:t>
            </w:r>
            <w:proofErr w:type="spellStart"/>
            <w:r>
              <w:rPr>
                <w:rFonts w:ascii="Arial" w:eastAsia="Times New Roman" w:hAnsi="Arial"/>
                <w:sz w:val="20"/>
                <w:szCs w:val="20"/>
                <w:lang w:val="en-US" w:eastAsia="de-DE"/>
              </w:rPr>
              <w:t>Fremdvergabe</w:t>
            </w:r>
            <w:proofErr w:type="spellEnd"/>
            <w:r>
              <w:rPr>
                <w:rFonts w:ascii="Arial" w:eastAsia="Times New Roman" w:hAnsi="Arial"/>
                <w:sz w:val="20"/>
                <w:szCs w:val="20"/>
                <w:lang w:val="en-US" w:eastAsia="de-DE"/>
              </w:rPr>
              <w: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val="en-US" w:eastAsia="de-DE"/>
              </w:rPr>
              <w:t xml:space="preserve">  </w:t>
            </w:r>
            <w:r>
              <w:rPr>
                <w:rFonts w:ascii="Arial" w:eastAsia="Times New Roman" w:hAnsi="Arial"/>
                <w:sz w:val="20"/>
                <w:szCs w:val="20"/>
                <w:lang w:eastAsia="de-DE"/>
              </w:rPr>
              <w:t>39,27 €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PBSM </w:t>
            </w:r>
            <w:proofErr w:type="spellStart"/>
            <w:r>
              <w:rPr>
                <w:rFonts w:ascii="Arial" w:eastAsia="Times New Roman" w:hAnsi="Arial"/>
                <w:sz w:val="20"/>
                <w:szCs w:val="20"/>
                <w:lang w:eastAsia="de-DE"/>
              </w:rPr>
              <w:t>Nds</w:t>
            </w:r>
            <w:proofErr w:type="spellEnd"/>
            <w:r>
              <w:rPr>
                <w:rFonts w:ascii="Arial" w:eastAsia="Times New Roman" w:hAnsi="Arial"/>
                <w:sz w:val="20"/>
                <w:szCs w:val="20"/>
                <w:lang w:eastAsia="de-DE"/>
              </w:rPr>
              <w:t>. Landesliste (Fremdvergabe)</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362,95 €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val="en-US" w:eastAsia="de-DE"/>
              </w:rPr>
              <w:t xml:space="preserve">LHKW </w:t>
            </w:r>
            <w:proofErr w:type="spellStart"/>
            <w:r>
              <w:rPr>
                <w:rFonts w:ascii="Arial" w:eastAsia="Times New Roman" w:hAnsi="Arial"/>
                <w:sz w:val="20"/>
                <w:szCs w:val="20"/>
                <w:lang w:val="en-US" w:eastAsia="de-DE"/>
              </w:rPr>
              <w:t>TrinkwV</w:t>
            </w:r>
            <w:proofErr w:type="spellEnd"/>
            <w:r>
              <w:rPr>
                <w:rFonts w:ascii="Arial" w:eastAsia="Times New Roman" w:hAnsi="Arial"/>
                <w:sz w:val="20"/>
                <w:szCs w:val="20"/>
                <w:lang w:val="en-US" w:eastAsia="de-DE"/>
              </w:rPr>
              <w:t xml:space="preserve"> (</w:t>
            </w:r>
            <w:proofErr w:type="spellStart"/>
            <w:r>
              <w:rPr>
                <w:rFonts w:ascii="Arial" w:eastAsia="Times New Roman" w:hAnsi="Arial"/>
                <w:sz w:val="20"/>
                <w:szCs w:val="20"/>
                <w:lang w:val="en-US" w:eastAsia="de-DE"/>
              </w:rPr>
              <w:t>Fremdvergabe</w:t>
            </w:r>
            <w:proofErr w:type="spellEnd"/>
            <w:r>
              <w:rPr>
                <w:rFonts w:ascii="Arial" w:eastAsia="Times New Roman" w:hAnsi="Arial"/>
                <w:sz w:val="20"/>
                <w:szCs w:val="20"/>
                <w:lang w:eastAsia="de-DE"/>
              </w:rPr>
              <w: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41,65 €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val="en-US" w:eastAsia="de-DE"/>
              </w:rPr>
            </w:pPr>
            <w:r>
              <w:rPr>
                <w:rFonts w:ascii="Arial" w:eastAsia="Times New Roman" w:hAnsi="Arial"/>
                <w:sz w:val="20"/>
                <w:szCs w:val="20"/>
                <w:lang w:val="en-US" w:eastAsia="de-DE"/>
              </w:rPr>
              <w:t>BTXE (</w:t>
            </w:r>
            <w:proofErr w:type="spellStart"/>
            <w:r>
              <w:rPr>
                <w:rFonts w:ascii="Arial" w:eastAsia="Times New Roman" w:hAnsi="Arial"/>
                <w:sz w:val="20"/>
                <w:szCs w:val="20"/>
                <w:lang w:val="en-US" w:eastAsia="de-DE"/>
              </w:rPr>
              <w:t>Fremdvergabe</w:t>
            </w:r>
            <w:proofErr w:type="spellEnd"/>
            <w:r>
              <w:rPr>
                <w:rFonts w:ascii="Arial" w:eastAsia="Times New Roman" w:hAnsi="Arial"/>
                <w:sz w:val="20"/>
                <w:szCs w:val="20"/>
                <w:lang w:val="en-US" w:eastAsia="de-DE"/>
              </w:rPr>
              <w:t xml:space="preserve">)   </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val="en-US" w:eastAsia="de-DE"/>
              </w:rPr>
              <w:t xml:space="preserve">  37,49</w:t>
            </w:r>
            <w:r>
              <w:rPr>
                <w:rFonts w:ascii="Arial" w:eastAsia="Times New Roman" w:hAnsi="Arial"/>
                <w:sz w:val="20"/>
                <w:szCs w:val="20"/>
                <w:lang w:eastAsia="de-DE"/>
              </w:rPr>
              <w:t xml:space="preserve">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val="en-US" w:eastAsia="de-DE"/>
              </w:rPr>
            </w:pPr>
            <w:proofErr w:type="spellStart"/>
            <w:r>
              <w:rPr>
                <w:rFonts w:ascii="Arial" w:eastAsia="Times New Roman" w:hAnsi="Arial"/>
                <w:sz w:val="20"/>
                <w:szCs w:val="20"/>
                <w:lang w:val="en-US" w:eastAsia="de-DE"/>
              </w:rPr>
              <w:t>Kresole</w:t>
            </w:r>
            <w:proofErr w:type="spellEnd"/>
            <w:r>
              <w:rPr>
                <w:rFonts w:ascii="Arial" w:eastAsia="Times New Roman" w:hAnsi="Arial"/>
                <w:sz w:val="20"/>
                <w:szCs w:val="20"/>
                <w:lang w:val="en-US" w:eastAsia="de-DE"/>
              </w:rPr>
              <w:t xml:space="preserve"> (</w:t>
            </w:r>
            <w:proofErr w:type="spellStart"/>
            <w:r>
              <w:rPr>
                <w:rFonts w:ascii="Arial" w:eastAsia="Times New Roman" w:hAnsi="Arial"/>
                <w:sz w:val="20"/>
                <w:szCs w:val="20"/>
                <w:lang w:val="en-US" w:eastAsia="de-DE"/>
              </w:rPr>
              <w:t>Fremdvergabe</w:t>
            </w:r>
            <w:proofErr w:type="spellEnd"/>
            <w:r>
              <w:rPr>
                <w:rFonts w:ascii="Arial" w:eastAsia="Times New Roman" w:hAnsi="Arial"/>
                <w:sz w:val="20"/>
                <w:szCs w:val="20"/>
                <w:lang w:val="en-US" w:eastAsia="de-DE"/>
              </w:rPr>
              <w: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val="en-US" w:eastAsia="de-DE"/>
              </w:rPr>
              <w:t xml:space="preserve">  </w:t>
            </w:r>
            <w:r>
              <w:rPr>
                <w:rFonts w:ascii="Arial" w:eastAsia="Times New Roman" w:hAnsi="Arial"/>
                <w:sz w:val="20"/>
                <w:szCs w:val="20"/>
                <w:lang w:eastAsia="de-DE"/>
              </w:rPr>
              <w:t>53,55 €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2.6</w:t>
            </w:r>
          </w:p>
        </w:tc>
        <w:tc>
          <w:tcPr>
            <w:tcW w:w="6946"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Anionen</w:t>
            </w:r>
          </w:p>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Chlorid </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Nitrat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Chlorat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Chlorit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Bromat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Fluorid </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Sulfat </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Sulfid</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Cyanid leicht freisetzbar (Fremdvergabe)</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23,80 €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Cyanid, gesamt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40,90 €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2.7</w:t>
            </w:r>
          </w:p>
        </w:tc>
        <w:tc>
          <w:tcPr>
            <w:tcW w:w="6946"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Metalle und Halbmetalle</w:t>
            </w:r>
          </w:p>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Aluminium</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Antimon</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40,90 €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Arsen</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40,90 €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Barium</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Blei</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Bor</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Cadmium</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Calcium</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Chrom</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roofErr w:type="spellStart"/>
            <w:r>
              <w:rPr>
                <w:rFonts w:ascii="Arial" w:eastAsia="Times New Roman" w:hAnsi="Arial"/>
                <w:sz w:val="20"/>
                <w:szCs w:val="20"/>
                <w:lang w:val="en-US" w:eastAsia="de-DE"/>
              </w:rPr>
              <w:t>Chrom</w:t>
            </w:r>
            <w:proofErr w:type="spellEnd"/>
            <w:r>
              <w:rPr>
                <w:rFonts w:ascii="Arial" w:eastAsia="Times New Roman" w:hAnsi="Arial"/>
                <w:sz w:val="20"/>
                <w:szCs w:val="20"/>
                <w:lang w:val="en-US" w:eastAsia="de-DE"/>
              </w:rPr>
              <w:t xml:space="preserve"> VI (</w:t>
            </w:r>
            <w:proofErr w:type="spellStart"/>
            <w:r>
              <w:rPr>
                <w:rFonts w:ascii="Arial" w:eastAsia="Times New Roman" w:hAnsi="Arial"/>
                <w:sz w:val="20"/>
                <w:szCs w:val="20"/>
                <w:lang w:val="en-US" w:eastAsia="de-DE"/>
              </w:rPr>
              <w:t>Fremdvergabe</w:t>
            </w:r>
            <w:proofErr w:type="spellEnd"/>
            <w:r>
              <w:rPr>
                <w:rFonts w:ascii="Arial" w:eastAsia="Times New Roman" w:hAnsi="Arial"/>
                <w:sz w:val="20"/>
                <w:szCs w:val="20"/>
                <w:lang w:eastAsia="de-DE"/>
              </w:rPr>
              <w: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17,85 €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Kobalt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Eisen</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Kalium</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Kupfer</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Magnesium</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Mangan</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Natrium</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Nickel</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Quecksilber</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40,90 €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Selen</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40,90 €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Zink</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rPr>
          <w:trHeight w:val="178"/>
        </w:trP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Eisen (</w:t>
            </w:r>
            <w:proofErr w:type="spellStart"/>
            <w:r>
              <w:rPr>
                <w:rFonts w:ascii="Arial" w:eastAsia="Times New Roman" w:hAnsi="Arial"/>
                <w:sz w:val="20"/>
                <w:szCs w:val="20"/>
                <w:lang w:eastAsia="de-DE"/>
              </w:rPr>
              <w:t>Küvettentest</w:t>
            </w:r>
            <w:proofErr w:type="spellEnd"/>
            <w:r>
              <w:rPr>
                <w:rFonts w:ascii="Arial" w:eastAsia="Times New Roman" w:hAnsi="Arial"/>
                <w:sz w:val="20"/>
                <w:szCs w:val="20"/>
                <w:lang w:eastAsia="de-DE"/>
              </w:rPr>
              <w: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10,00 €</w:t>
            </w:r>
          </w:p>
        </w:tc>
      </w:tr>
      <w:tr>
        <w:trPr>
          <w:trHeight w:val="178"/>
        </w:trP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2.8</w:t>
            </w:r>
          </w:p>
        </w:tc>
        <w:tc>
          <w:tcPr>
            <w:tcW w:w="6946"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Stickstoff- und Phosphorverbindungen</w:t>
            </w:r>
          </w:p>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Ammonium (Trinkwasser)</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Ammonium (FIA)</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20,40 €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Ammonium (</w:t>
            </w:r>
            <w:proofErr w:type="spellStart"/>
            <w:r>
              <w:rPr>
                <w:rFonts w:ascii="Arial" w:eastAsia="Times New Roman" w:hAnsi="Arial"/>
                <w:sz w:val="20"/>
                <w:szCs w:val="20"/>
                <w:lang w:eastAsia="de-DE"/>
              </w:rPr>
              <w:t>Küvettentest</w:t>
            </w:r>
            <w:proofErr w:type="spellEnd"/>
            <w:r>
              <w:rPr>
                <w:rFonts w:ascii="Arial" w:eastAsia="Times New Roman" w:hAnsi="Arial"/>
                <w:sz w:val="20"/>
                <w:szCs w:val="20"/>
                <w:lang w:eastAsia="de-DE"/>
              </w:rPr>
              <w: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10,00 €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Nitrat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Nitrat (</w:t>
            </w:r>
            <w:proofErr w:type="spellStart"/>
            <w:r>
              <w:rPr>
                <w:rFonts w:ascii="Arial" w:eastAsia="Times New Roman" w:hAnsi="Arial"/>
                <w:sz w:val="20"/>
                <w:szCs w:val="20"/>
                <w:lang w:eastAsia="de-DE"/>
              </w:rPr>
              <w:t>Küvettentest</w:t>
            </w:r>
            <w:proofErr w:type="spellEnd"/>
            <w:r>
              <w:rPr>
                <w:rFonts w:ascii="Arial" w:eastAsia="Times New Roman" w:hAnsi="Arial"/>
                <w:sz w:val="20"/>
                <w:szCs w:val="20"/>
                <w:lang w:eastAsia="de-DE"/>
              </w:rPr>
              <w: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10,00 €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Nitrit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roofErr w:type="spellStart"/>
            <w:r>
              <w:rPr>
                <w:rFonts w:ascii="Arial" w:eastAsia="Times New Roman" w:hAnsi="Arial"/>
                <w:sz w:val="20"/>
                <w:szCs w:val="20"/>
                <w:lang w:eastAsia="de-DE"/>
              </w:rPr>
              <w:t>TNb</w:t>
            </w:r>
            <w:proofErr w:type="spellEnd"/>
            <w:r>
              <w:rPr>
                <w:rFonts w:ascii="Arial" w:eastAsia="Times New Roman" w:hAnsi="Arial"/>
                <w:sz w:val="20"/>
                <w:szCs w:val="20"/>
                <w:lang w:eastAsia="de-DE"/>
              </w:rPr>
              <w:t xml:space="preserve"> Gesamtstickstoff (anorganisch u. organisch)</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28,60 €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roofErr w:type="spellStart"/>
            <w:r>
              <w:rPr>
                <w:rFonts w:ascii="Arial" w:eastAsia="Times New Roman" w:hAnsi="Arial"/>
                <w:sz w:val="20"/>
                <w:szCs w:val="20"/>
                <w:lang w:eastAsia="de-DE"/>
              </w:rPr>
              <w:t>TNb</w:t>
            </w:r>
            <w:proofErr w:type="spellEnd"/>
            <w:r>
              <w:rPr>
                <w:rFonts w:ascii="Arial" w:eastAsia="Times New Roman" w:hAnsi="Arial"/>
                <w:sz w:val="20"/>
                <w:szCs w:val="20"/>
                <w:lang w:eastAsia="de-DE"/>
              </w:rPr>
              <w:t>, Gesamtstickstoff  (</w:t>
            </w:r>
            <w:proofErr w:type="spellStart"/>
            <w:r>
              <w:rPr>
                <w:rFonts w:ascii="Arial" w:eastAsia="Times New Roman" w:hAnsi="Arial"/>
                <w:sz w:val="20"/>
                <w:szCs w:val="20"/>
                <w:lang w:eastAsia="de-DE"/>
              </w:rPr>
              <w:t>Küvettentest</w:t>
            </w:r>
            <w:proofErr w:type="spellEnd"/>
            <w:r>
              <w:rPr>
                <w:rFonts w:ascii="Arial" w:eastAsia="Times New Roman" w:hAnsi="Arial"/>
                <w:sz w:val="20"/>
                <w:szCs w:val="20"/>
                <w:lang w:eastAsia="de-DE"/>
              </w:rPr>
              <w: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17,00 €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Phosphor, gesamt (ICP)</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24,50 €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Phosphor, gesamt (</w:t>
            </w:r>
            <w:proofErr w:type="spellStart"/>
            <w:r>
              <w:rPr>
                <w:rFonts w:ascii="Arial" w:eastAsia="Times New Roman" w:hAnsi="Arial"/>
                <w:sz w:val="20"/>
                <w:szCs w:val="20"/>
                <w:lang w:eastAsia="de-DE"/>
              </w:rPr>
              <w:t>Küvettentest</w:t>
            </w:r>
            <w:proofErr w:type="spellEnd"/>
            <w:r>
              <w:rPr>
                <w:rFonts w:ascii="Arial" w:eastAsia="Times New Roman" w:hAnsi="Arial"/>
                <w:sz w:val="20"/>
                <w:szCs w:val="20"/>
                <w:lang w:eastAsia="de-DE"/>
              </w:rPr>
              <w: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17,00 €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roofErr w:type="spellStart"/>
            <w:r>
              <w:rPr>
                <w:rFonts w:ascii="Arial" w:eastAsia="Times New Roman" w:hAnsi="Arial"/>
                <w:sz w:val="20"/>
                <w:szCs w:val="20"/>
                <w:lang w:eastAsia="de-DE"/>
              </w:rPr>
              <w:t>Orthophosphat</w:t>
            </w:r>
            <w:proofErr w:type="spellEnd"/>
            <w:r>
              <w:rPr>
                <w:rFonts w:ascii="Arial" w:eastAsia="Times New Roman" w:hAnsi="Arial"/>
                <w:sz w:val="20"/>
                <w:szCs w:val="20"/>
                <w:lang w:eastAsia="de-DE"/>
              </w:rPr>
              <w:t xml:space="preserve"> </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16,30 €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roofErr w:type="spellStart"/>
            <w:r>
              <w:rPr>
                <w:rFonts w:ascii="Arial" w:eastAsia="Times New Roman" w:hAnsi="Arial"/>
                <w:sz w:val="20"/>
                <w:szCs w:val="20"/>
                <w:lang w:eastAsia="de-DE"/>
              </w:rPr>
              <w:t>Orthophosphat</w:t>
            </w:r>
            <w:proofErr w:type="spellEnd"/>
            <w:r>
              <w:rPr>
                <w:rFonts w:ascii="Arial" w:eastAsia="Times New Roman" w:hAnsi="Arial"/>
                <w:sz w:val="20"/>
                <w:szCs w:val="20"/>
                <w:lang w:eastAsia="de-DE"/>
              </w:rPr>
              <w:t xml:space="preserve"> (</w:t>
            </w:r>
            <w:proofErr w:type="spellStart"/>
            <w:r>
              <w:rPr>
                <w:rFonts w:ascii="Arial" w:eastAsia="Times New Roman" w:hAnsi="Arial"/>
                <w:sz w:val="20"/>
                <w:szCs w:val="20"/>
                <w:lang w:eastAsia="de-DE"/>
              </w:rPr>
              <w:t>Küvettentest</w:t>
            </w:r>
            <w:proofErr w:type="spellEnd"/>
            <w:r>
              <w:rPr>
                <w:rFonts w:ascii="Arial" w:eastAsia="Times New Roman" w:hAnsi="Arial"/>
                <w:sz w:val="20"/>
                <w:szCs w:val="20"/>
                <w:lang w:eastAsia="de-DE"/>
              </w:rPr>
              <w:t>)</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10,00 €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2.9</w:t>
            </w:r>
          </w:p>
        </w:tc>
        <w:tc>
          <w:tcPr>
            <w:tcW w:w="6946"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r>
              <w:rPr>
                <w:rFonts w:ascii="Arial" w:eastAsia="Times New Roman" w:hAnsi="Arial"/>
                <w:b/>
                <w:sz w:val="20"/>
                <w:szCs w:val="20"/>
                <w:lang w:eastAsia="de-DE"/>
              </w:rPr>
              <w:t>Bakteriologische und hygienische Untersuchungen</w:t>
            </w:r>
          </w:p>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b/>
                <w:sz w:val="20"/>
                <w:szCs w:val="20"/>
                <w:lang w:eastAsia="de-DE"/>
              </w:rPr>
            </w:pPr>
          </w:p>
        </w:tc>
      </w:tr>
      <w:tr>
        <w:trPr>
          <w:trHeight w:val="190"/>
        </w:trP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Kol. Zahl 22 °C, Kol. Zahl 36 °C, </w:t>
            </w:r>
            <w:proofErr w:type="spellStart"/>
            <w:r>
              <w:rPr>
                <w:rFonts w:ascii="Arial" w:eastAsia="Times New Roman" w:hAnsi="Arial"/>
                <w:sz w:val="20"/>
                <w:szCs w:val="20"/>
                <w:lang w:eastAsia="de-DE"/>
              </w:rPr>
              <w:t>coliforme</w:t>
            </w:r>
            <w:proofErr w:type="spellEnd"/>
            <w:r>
              <w:rPr>
                <w:rFonts w:ascii="Arial" w:eastAsia="Times New Roman" w:hAnsi="Arial"/>
                <w:sz w:val="20"/>
                <w:szCs w:val="20"/>
                <w:lang w:eastAsia="de-DE"/>
              </w:rPr>
              <w:t xml:space="preserve"> Keime, E. coli</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34,00 €</w:t>
            </w:r>
          </w:p>
        </w:tc>
      </w:tr>
      <w:tr>
        <w:trPr>
          <w:trHeight w:val="190"/>
        </w:trP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Enterokokken,  Kol. Zahl 22 °C, Kol. Zahl 36 °C, </w:t>
            </w:r>
            <w:proofErr w:type="spellStart"/>
            <w:r>
              <w:rPr>
                <w:rFonts w:ascii="Arial" w:eastAsia="Times New Roman" w:hAnsi="Arial"/>
                <w:sz w:val="20"/>
                <w:szCs w:val="20"/>
                <w:lang w:eastAsia="de-DE"/>
              </w:rPr>
              <w:t>coliforme</w:t>
            </w:r>
            <w:proofErr w:type="spellEnd"/>
            <w:r>
              <w:rPr>
                <w:rFonts w:ascii="Arial" w:eastAsia="Times New Roman" w:hAnsi="Arial"/>
                <w:sz w:val="20"/>
                <w:szCs w:val="20"/>
                <w:lang w:eastAsia="de-DE"/>
              </w:rPr>
              <w:t xml:space="preserve"> Keime, E. coli</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56,00 €</w:t>
            </w:r>
          </w:p>
        </w:tc>
      </w:tr>
      <w:tr>
        <w:trPr>
          <w:trHeight w:val="520"/>
        </w:trP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Badegewässeruntersuchung nach </w:t>
            </w:r>
            <w:proofErr w:type="spellStart"/>
            <w:r>
              <w:rPr>
                <w:rFonts w:ascii="Arial" w:eastAsia="Times New Roman" w:hAnsi="Arial"/>
                <w:sz w:val="20"/>
                <w:szCs w:val="20"/>
                <w:lang w:eastAsia="de-DE"/>
              </w:rPr>
              <w:t>BadegewVO</w:t>
            </w:r>
            <w:proofErr w:type="spellEnd"/>
            <w:r>
              <w:rPr>
                <w:rFonts w:ascii="Arial" w:eastAsia="Times New Roman" w:hAnsi="Arial"/>
                <w:sz w:val="20"/>
                <w:szCs w:val="20"/>
                <w:lang w:eastAsia="de-DE"/>
              </w:rPr>
              <w:t>:</w:t>
            </w:r>
          </w:p>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w:t>
            </w:r>
            <w:proofErr w:type="spellStart"/>
            <w:r>
              <w:rPr>
                <w:rFonts w:ascii="Arial" w:eastAsia="Times New Roman" w:hAnsi="Arial"/>
                <w:sz w:val="20"/>
                <w:szCs w:val="20"/>
                <w:lang w:eastAsia="de-DE"/>
              </w:rPr>
              <w:t>E.Coli</w:t>
            </w:r>
            <w:proofErr w:type="spellEnd"/>
            <w:r>
              <w:rPr>
                <w:rFonts w:ascii="Arial" w:eastAsia="Times New Roman" w:hAnsi="Arial"/>
                <w:sz w:val="20"/>
                <w:szCs w:val="20"/>
                <w:lang w:eastAsia="de-DE"/>
              </w:rPr>
              <w:t xml:space="preserve"> (MPN), Enterokokken (MPN)</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50,00 €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roofErr w:type="spellStart"/>
            <w:r>
              <w:rPr>
                <w:rFonts w:ascii="Arial" w:eastAsia="Times New Roman" w:hAnsi="Arial"/>
                <w:sz w:val="20"/>
                <w:szCs w:val="20"/>
                <w:lang w:eastAsia="de-DE"/>
              </w:rPr>
              <w:t>coliforme</w:t>
            </w:r>
            <w:proofErr w:type="spellEnd"/>
            <w:r>
              <w:rPr>
                <w:rFonts w:ascii="Arial" w:eastAsia="Times New Roman" w:hAnsi="Arial"/>
                <w:sz w:val="20"/>
                <w:szCs w:val="20"/>
                <w:lang w:eastAsia="de-DE"/>
              </w:rPr>
              <w:t xml:space="preserve"> Keime / </w:t>
            </w:r>
            <w:proofErr w:type="spellStart"/>
            <w:r>
              <w:rPr>
                <w:rFonts w:ascii="Arial" w:eastAsia="Times New Roman" w:hAnsi="Arial"/>
                <w:sz w:val="20"/>
                <w:szCs w:val="20"/>
                <w:lang w:eastAsia="de-DE"/>
              </w:rPr>
              <w:t>E.coli</w:t>
            </w:r>
            <w:proofErr w:type="spellEnd"/>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17,00 €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Legionellen</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36,00 €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Enterokokken</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22,00 €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roofErr w:type="spellStart"/>
            <w:r>
              <w:rPr>
                <w:rFonts w:ascii="Arial" w:eastAsia="Times New Roman" w:hAnsi="Arial"/>
                <w:sz w:val="20"/>
                <w:szCs w:val="20"/>
                <w:lang w:eastAsia="de-DE"/>
              </w:rPr>
              <w:t>Pseudomonas</w:t>
            </w:r>
            <w:proofErr w:type="spellEnd"/>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28,00 €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roofErr w:type="spellStart"/>
            <w:r>
              <w:rPr>
                <w:rFonts w:ascii="Arial" w:eastAsia="Times New Roman" w:hAnsi="Arial"/>
                <w:sz w:val="20"/>
                <w:szCs w:val="20"/>
                <w:lang w:eastAsia="de-DE"/>
              </w:rPr>
              <w:t>Pseudomonas</w:t>
            </w:r>
            <w:proofErr w:type="spellEnd"/>
            <w:r>
              <w:rPr>
                <w:rFonts w:ascii="Arial" w:eastAsia="Times New Roman" w:hAnsi="Arial"/>
                <w:sz w:val="20"/>
                <w:szCs w:val="20"/>
                <w:lang w:eastAsia="de-DE"/>
              </w:rPr>
              <w:t xml:space="preserve"> in Wasserzählern</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33,00 €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Fleischhygienische Untersuchung (Trichinen)</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2,57 €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Lufthygienische Untersuchung (Abklatschuntersuchung auf </w:t>
            </w:r>
            <w:proofErr w:type="spellStart"/>
            <w:r>
              <w:rPr>
                <w:rFonts w:ascii="Arial" w:eastAsia="Times New Roman" w:hAnsi="Arial"/>
                <w:sz w:val="20"/>
                <w:szCs w:val="20"/>
                <w:lang w:eastAsia="de-DE"/>
              </w:rPr>
              <w:t>Enterobakt</w:t>
            </w:r>
            <w:proofErr w:type="spellEnd"/>
            <w:r>
              <w:rPr>
                <w:rFonts w:ascii="Arial" w:eastAsia="Times New Roman" w:hAnsi="Arial"/>
                <w:sz w:val="20"/>
                <w:szCs w:val="20"/>
                <w:lang w:eastAsia="de-DE"/>
              </w:rPr>
              <w:t>. und Gesamtkeimzahl)</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25,00 €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Lufthygienische Untersuchung (Wasser auf Gesamtkeimzahl und Schimmel und Hefen – Dip Slide Methode)</w:t>
            </w: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r>
              <w:rPr>
                <w:rFonts w:ascii="Arial" w:eastAsia="Times New Roman" w:hAnsi="Arial"/>
                <w:sz w:val="20"/>
                <w:szCs w:val="20"/>
                <w:lang w:eastAsia="de-DE"/>
              </w:rPr>
              <w:t xml:space="preserve">    7,00 €</w:t>
            </w:r>
          </w:p>
        </w:tc>
      </w:tr>
      <w:tr>
        <w:tc>
          <w:tcPr>
            <w:tcW w:w="637"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6946"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c>
          <w:tcPr>
            <w:tcW w:w="1701" w:type="dxa"/>
          </w:tcPr>
          <w:p>
            <w:pPr>
              <w:tabs>
                <w:tab w:val="left" w:pos="284"/>
                <w:tab w:val="left" w:pos="993"/>
                <w:tab w:val="decimal" w:pos="6662"/>
                <w:tab w:val="decimal" w:pos="8222"/>
              </w:tabs>
              <w:spacing w:after="0" w:line="240" w:lineRule="auto"/>
              <w:rPr>
                <w:rFonts w:ascii="Arial" w:eastAsia="Times New Roman" w:hAnsi="Arial"/>
                <w:sz w:val="20"/>
                <w:szCs w:val="20"/>
                <w:lang w:eastAsia="de-DE"/>
              </w:rPr>
            </w:pPr>
          </w:p>
        </w:tc>
      </w:tr>
    </w:tbl>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tabs>
          <w:tab w:val="left" w:pos="284"/>
          <w:tab w:val="left" w:pos="993"/>
          <w:tab w:val="decimal" w:pos="6662"/>
          <w:tab w:val="decimal" w:pos="8222"/>
        </w:tabs>
        <w:spacing w:after="0" w:line="240" w:lineRule="auto"/>
        <w:rPr>
          <w:rFonts w:ascii="Arial" w:eastAsia="Times New Roman" w:hAnsi="Arial"/>
          <w:sz w:val="20"/>
          <w:szCs w:val="20"/>
          <w:lang w:eastAsia="de-DE"/>
        </w:rPr>
      </w:pPr>
    </w:p>
    <w:p>
      <w:pPr>
        <w:pStyle w:val="Listenabsatz"/>
        <w:numPr>
          <w:ilvl w:val="0"/>
          <w:numId w:val="2"/>
        </w:numPr>
        <w:autoSpaceDE w:val="0"/>
        <w:autoSpaceDN w:val="0"/>
        <w:adjustRightInd w:val="0"/>
        <w:spacing w:after="0" w:line="240" w:lineRule="auto"/>
        <w:rPr>
          <w:rFonts w:ascii="NDSFrutiger-Bold" w:hAnsi="NDSFrutiger-Bold" w:cs="NDSFrutiger-Bold"/>
          <w:b/>
          <w:bCs/>
          <w:color w:val="000000"/>
          <w:sz w:val="24"/>
          <w:szCs w:val="24"/>
          <w:lang w:eastAsia="de-DE"/>
        </w:rPr>
      </w:pPr>
      <w:r>
        <w:rPr>
          <w:rFonts w:ascii="NDSFrutiger-Bold" w:hAnsi="NDSFrutiger-Bold" w:cs="NDSFrutiger-Bold"/>
          <w:b/>
          <w:bCs/>
          <w:color w:val="000000"/>
          <w:sz w:val="24"/>
          <w:szCs w:val="24"/>
          <w:lang w:eastAsia="de-DE"/>
        </w:rPr>
        <w:lastRenderedPageBreak/>
        <w:t xml:space="preserve"> Anlage</w:t>
      </w:r>
    </w:p>
    <w:p>
      <w:pPr>
        <w:autoSpaceDE w:val="0"/>
        <w:autoSpaceDN w:val="0"/>
        <w:adjustRightInd w:val="0"/>
        <w:spacing w:after="0" w:line="240" w:lineRule="auto"/>
        <w:rPr>
          <w:rFonts w:ascii="NDSFrutiger-Bold" w:hAnsi="NDSFrutiger-Bold" w:cs="NDSFrutiger-Bold"/>
          <w:b/>
          <w:bCs/>
          <w:color w:val="000000"/>
          <w:sz w:val="24"/>
          <w:szCs w:val="24"/>
          <w:lang w:eastAsia="de-DE"/>
        </w:rPr>
      </w:pPr>
    </w:p>
    <w:p>
      <w:pPr>
        <w:autoSpaceDE w:val="0"/>
        <w:autoSpaceDN w:val="0"/>
        <w:adjustRightInd w:val="0"/>
        <w:spacing w:after="0" w:line="240" w:lineRule="auto"/>
        <w:rPr>
          <w:rFonts w:ascii="NDSFrutiger-Bold" w:hAnsi="NDSFrutiger-Bold" w:cs="NDSFrutiger-Bold"/>
          <w:b/>
          <w:bCs/>
          <w:color w:val="000000"/>
          <w:lang w:eastAsia="de-DE"/>
        </w:rPr>
      </w:pPr>
      <w:r>
        <w:rPr>
          <w:rFonts w:ascii="NDSFrutiger-Bold" w:hAnsi="NDSFrutiger-Bold" w:cs="NDSFrutiger-Bold"/>
          <w:b/>
          <w:bCs/>
          <w:color w:val="000000"/>
          <w:lang w:eastAsia="de-DE"/>
        </w:rPr>
        <w:t>Konformitätsbewertung von Prüfergebnissen unter Einbeziehung der</w:t>
      </w:r>
    </w:p>
    <w:p>
      <w:pPr>
        <w:autoSpaceDE w:val="0"/>
        <w:autoSpaceDN w:val="0"/>
        <w:adjustRightInd w:val="0"/>
        <w:spacing w:after="0" w:line="240" w:lineRule="auto"/>
        <w:rPr>
          <w:rFonts w:ascii="NDSFrutiger-Bold" w:hAnsi="NDSFrutiger-Bold" w:cs="NDSFrutiger-Bold"/>
          <w:b/>
          <w:bCs/>
          <w:color w:val="000000"/>
          <w:lang w:eastAsia="de-DE"/>
        </w:rPr>
      </w:pPr>
      <w:r>
        <w:rPr>
          <w:rFonts w:ascii="NDSFrutiger-Bold" w:hAnsi="NDSFrutiger-Bold" w:cs="NDSFrutiger-Bold"/>
          <w:b/>
          <w:bCs/>
          <w:color w:val="000000"/>
          <w:lang w:eastAsia="de-DE"/>
        </w:rPr>
        <w:t>Messunsicherheiten für Wasseruntersuchungen</w:t>
      </w:r>
    </w:p>
    <w:p>
      <w:pPr>
        <w:autoSpaceDE w:val="0"/>
        <w:autoSpaceDN w:val="0"/>
        <w:adjustRightInd w:val="0"/>
        <w:spacing w:after="0" w:line="240" w:lineRule="auto"/>
        <w:rPr>
          <w:rFonts w:ascii="NDSFrutiger-Bold" w:hAnsi="NDSFrutiger-Bold" w:cs="NDSFrutiger-Bold"/>
          <w:b/>
          <w:bCs/>
          <w:color w:val="000000"/>
          <w:lang w:eastAsia="de-DE"/>
        </w:rPr>
      </w:pPr>
    </w:p>
    <w:p>
      <w:pPr>
        <w:autoSpaceDE w:val="0"/>
        <w:autoSpaceDN w:val="0"/>
        <w:adjustRightInd w:val="0"/>
        <w:spacing w:after="0" w:line="240" w:lineRule="auto"/>
        <w:jc w:val="both"/>
        <w:rPr>
          <w:rFonts w:ascii="NDSFrutiger-Light" w:hAnsi="NDSFrutiger-Light" w:cs="NDSFrutiger-Light"/>
          <w:color w:val="000000"/>
          <w:sz w:val="20"/>
          <w:szCs w:val="20"/>
          <w:lang w:eastAsia="de-DE"/>
        </w:rPr>
      </w:pPr>
      <w:r>
        <w:rPr>
          <w:rFonts w:ascii="NDSFrutiger-Light" w:hAnsi="NDSFrutiger-Light" w:cs="NDSFrutiger-Light"/>
          <w:color w:val="000000"/>
          <w:sz w:val="20"/>
          <w:szCs w:val="20"/>
          <w:lang w:eastAsia="de-DE"/>
        </w:rPr>
        <w:t xml:space="preserve">Für die Bewertung von Prüfergebnissen, bei denen aufgrund der Messunsicherheit die Möglichkeit besteht, dass eine Bewertung nicht eindeutig ist, muss die Untersuchungsstelle darlegen, nach welchen Kriterien oder Regeln die Bewertung vorgenommen wurde. Gemäß DIN EN ISO 17025 (2018) müssen Aussagen zur Konformität von Prüfergebnissen in Prüfberichten eine Angabe zur </w:t>
      </w:r>
      <w:r>
        <w:rPr>
          <w:rFonts w:ascii="NDSFrutiger-Light" w:hAnsi="NDSFrutiger-Light" w:cs="NDSFrutiger-Light"/>
          <w:b/>
          <w:color w:val="000000"/>
          <w:sz w:val="20"/>
          <w:szCs w:val="20"/>
          <w:lang w:eastAsia="de-DE"/>
        </w:rPr>
        <w:t xml:space="preserve">Entscheidungsregel </w:t>
      </w:r>
      <w:r>
        <w:rPr>
          <w:rFonts w:ascii="NDSFrutiger-Light" w:hAnsi="NDSFrutiger-Light" w:cs="NDSFrutiger-Light"/>
          <w:color w:val="000000"/>
          <w:sz w:val="20"/>
          <w:szCs w:val="20"/>
          <w:lang w:eastAsia="de-DE"/>
        </w:rPr>
        <w:t>beinhalten, sofern diese nicht bereits durch eine andere Norm oder gesetzliche Anforderung festgelegt wurde. Die Entscheidungsregel beschreibt, wie die Messunsicherheit berücksichtigt wird, wenn Aussagen zur Konformität einer festgelegten Anforderung getätigt werden.</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p>
    <w:p>
      <w:pPr>
        <w:autoSpaceDE w:val="0"/>
        <w:autoSpaceDN w:val="0"/>
        <w:adjustRightInd w:val="0"/>
        <w:spacing w:after="0" w:line="240" w:lineRule="auto"/>
        <w:jc w:val="both"/>
        <w:rPr>
          <w:rFonts w:ascii="NDSFrutiger-Light" w:hAnsi="NDSFrutiger-Light" w:cs="NDSFrutiger-Light"/>
          <w:color w:val="000000"/>
          <w:sz w:val="20"/>
          <w:szCs w:val="20"/>
          <w:lang w:eastAsia="de-DE"/>
        </w:rPr>
      </w:pPr>
      <w:r>
        <w:rPr>
          <w:rFonts w:ascii="NDSFrutiger-Bold" w:hAnsi="NDSFrutiger-Bold" w:cs="NDSFrutiger-Bold"/>
          <w:b/>
          <w:bCs/>
          <w:color w:val="000000"/>
          <w:sz w:val="20"/>
          <w:szCs w:val="20"/>
          <w:lang w:eastAsia="de-DE"/>
        </w:rPr>
        <w:t xml:space="preserve">Messunsicherheit </w:t>
      </w:r>
      <w:r>
        <w:rPr>
          <w:rFonts w:ascii="NDSFrutiger-Light" w:hAnsi="NDSFrutiger-Light" w:cs="NDSFrutiger-Light"/>
          <w:color w:val="000000"/>
          <w:sz w:val="20"/>
          <w:szCs w:val="20"/>
          <w:lang w:eastAsia="de-DE"/>
        </w:rPr>
        <w:t>ist ein dem Messergebnis zugeordneter Parameter, der die Streuung der Werte kennzeichnet, die vernünftigerweise der Messgröße zugeordnet werden kann. Im Allgemeinen wird die</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r>
        <w:rPr>
          <w:rFonts w:ascii="NDSFrutiger-Light" w:hAnsi="NDSFrutiger-Light" w:cs="NDSFrutiger-Light"/>
          <w:color w:val="000000"/>
          <w:sz w:val="20"/>
          <w:szCs w:val="20"/>
          <w:lang w:eastAsia="de-DE"/>
        </w:rPr>
        <w:t>Messunsicherheit durch die Angabe des Intervalls, innerhalb dessen der wahre Wert einer Messgröße mit einer gegebenen Wahrscheinlichkeit (im Normalfall 95 %) liegt, angegeben.</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p>
    <w:p>
      <w:pPr>
        <w:autoSpaceDE w:val="0"/>
        <w:autoSpaceDN w:val="0"/>
        <w:adjustRightInd w:val="0"/>
        <w:spacing w:after="0" w:line="240" w:lineRule="auto"/>
        <w:jc w:val="both"/>
        <w:rPr>
          <w:rFonts w:ascii="NDSFrutiger-Light" w:hAnsi="NDSFrutiger-Light" w:cs="NDSFrutiger-Light"/>
          <w:color w:val="000000"/>
          <w:sz w:val="20"/>
          <w:szCs w:val="20"/>
          <w:lang w:eastAsia="de-DE"/>
        </w:rPr>
      </w:pPr>
      <w:r>
        <w:rPr>
          <w:rFonts w:ascii="NDSFrutiger-Light" w:hAnsi="NDSFrutiger-Light" w:cs="NDSFrutiger-Light"/>
          <w:color w:val="000000"/>
          <w:sz w:val="20"/>
          <w:szCs w:val="20"/>
          <w:lang w:eastAsia="de-DE"/>
        </w:rPr>
        <w:t xml:space="preserve">Die Bewertung der Prüfergebnisse erfolgt </w:t>
      </w:r>
      <w:proofErr w:type="gramStart"/>
      <w:r>
        <w:rPr>
          <w:rFonts w:ascii="NDSFrutiger-Light" w:hAnsi="NDSFrutiger-Light" w:cs="NDSFrutiger-Light"/>
          <w:color w:val="000000"/>
          <w:sz w:val="20"/>
          <w:szCs w:val="20"/>
          <w:lang w:eastAsia="de-DE"/>
        </w:rPr>
        <w:t>nach folgendem</w:t>
      </w:r>
      <w:proofErr w:type="gramEnd"/>
      <w:r>
        <w:rPr>
          <w:rFonts w:ascii="NDSFrutiger-Light" w:hAnsi="NDSFrutiger-Light" w:cs="NDSFrutiger-Light"/>
          <w:color w:val="000000"/>
          <w:sz w:val="20"/>
          <w:szCs w:val="20"/>
          <w:lang w:eastAsia="de-DE"/>
        </w:rPr>
        <w:t xml:space="preserve"> Schema:</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p>
    <w:p>
      <w:pPr>
        <w:pStyle w:val="Listenabsatz"/>
        <w:numPr>
          <w:ilvl w:val="0"/>
          <w:numId w:val="3"/>
        </w:numPr>
        <w:autoSpaceDE w:val="0"/>
        <w:autoSpaceDN w:val="0"/>
        <w:adjustRightInd w:val="0"/>
        <w:spacing w:after="0" w:line="240" w:lineRule="auto"/>
        <w:jc w:val="both"/>
        <w:rPr>
          <w:rFonts w:ascii="NDSFrutiger-Light" w:hAnsi="NDSFrutiger-Light" w:cs="NDSFrutiger-Light"/>
          <w:color w:val="000000"/>
          <w:sz w:val="12"/>
          <w:szCs w:val="12"/>
          <w:lang w:eastAsia="de-DE"/>
        </w:rPr>
      </w:pPr>
      <w:r>
        <w:rPr>
          <w:rFonts w:ascii="NDSFrutiger-Light" w:hAnsi="NDSFrutiger-Light" w:cs="NDSFrutiger-Light"/>
          <w:color w:val="000000"/>
          <w:sz w:val="20"/>
          <w:szCs w:val="20"/>
          <w:lang w:eastAsia="de-DE"/>
        </w:rPr>
        <w:t xml:space="preserve">Sofern die Entscheidungsregel in einer den beauftragten Untersuchungen zugrundeliegenden Untersuchungsrichtlinie, gesetzlichen Anforderung oder Norm festgelegt ist, so gilt diese als vereinbart. </w:t>
      </w:r>
      <w:r>
        <w:rPr>
          <w:rFonts w:ascii="NDSFrutiger-Light" w:hAnsi="NDSFrutiger-Light" w:cs="NDSFrutiger-Light"/>
          <w:color w:val="000000"/>
          <w:sz w:val="12"/>
          <w:szCs w:val="12"/>
          <w:lang w:eastAsia="de-DE"/>
        </w:rPr>
        <w:t>*)</w:t>
      </w:r>
    </w:p>
    <w:p>
      <w:pPr>
        <w:pStyle w:val="Listenabsatz"/>
        <w:autoSpaceDE w:val="0"/>
        <w:autoSpaceDN w:val="0"/>
        <w:adjustRightInd w:val="0"/>
        <w:spacing w:after="0" w:line="240" w:lineRule="auto"/>
        <w:jc w:val="both"/>
        <w:rPr>
          <w:rFonts w:ascii="NDSFrutiger-Light" w:hAnsi="NDSFrutiger-Light" w:cs="NDSFrutiger-Light"/>
          <w:color w:val="000000"/>
          <w:sz w:val="12"/>
          <w:szCs w:val="12"/>
          <w:lang w:eastAsia="de-DE"/>
        </w:rPr>
      </w:pPr>
    </w:p>
    <w:p>
      <w:pPr>
        <w:autoSpaceDE w:val="0"/>
        <w:autoSpaceDN w:val="0"/>
        <w:adjustRightInd w:val="0"/>
        <w:spacing w:after="0" w:line="240" w:lineRule="auto"/>
        <w:ind w:firstLine="360"/>
        <w:jc w:val="both"/>
        <w:rPr>
          <w:rFonts w:ascii="NDSFrutiger-Light" w:hAnsi="NDSFrutiger-Light" w:cs="NDSFrutiger-Light"/>
          <w:color w:val="000000"/>
          <w:sz w:val="20"/>
          <w:szCs w:val="20"/>
          <w:lang w:eastAsia="de-DE"/>
        </w:rPr>
      </w:pPr>
      <w:r>
        <w:rPr>
          <w:rFonts w:ascii="NDSFrutiger-Light" w:hAnsi="NDSFrutiger-Light" w:cs="NDSFrutiger-Light"/>
          <w:color w:val="000000"/>
          <w:sz w:val="20"/>
          <w:szCs w:val="20"/>
          <w:lang w:eastAsia="de-DE"/>
        </w:rPr>
        <w:t>2)   Sofern Punkt 1) nicht zutrifft, findet grundsätzlich folgende Entscheidungsregel Anwendung:</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r>
        <w:rPr>
          <w:rFonts w:ascii="NDSFrutiger-Light" w:hAnsi="NDSFrutiger-Light" w:cs="NDSFrutiger-Light"/>
          <w:color w:val="000000"/>
          <w:sz w:val="20"/>
          <w:szCs w:val="20"/>
          <w:lang w:eastAsia="de-DE"/>
        </w:rPr>
        <w:t xml:space="preserve">             Fallunterscheidung:</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p>
    <w:p>
      <w:pPr>
        <w:autoSpaceDE w:val="0"/>
        <w:autoSpaceDN w:val="0"/>
        <w:adjustRightInd w:val="0"/>
        <w:spacing w:after="0" w:line="240" w:lineRule="auto"/>
        <w:jc w:val="both"/>
        <w:rPr>
          <w:rFonts w:ascii="NDSFrutiger-LightItalic" w:hAnsi="NDSFrutiger-LightItalic" w:cs="NDSFrutiger-LightItalic"/>
          <w:i/>
          <w:iCs/>
          <w:color w:val="000000"/>
          <w:sz w:val="20"/>
          <w:szCs w:val="20"/>
          <w:lang w:eastAsia="de-DE"/>
        </w:rPr>
      </w:pPr>
      <w:r>
        <w:rPr>
          <w:rFonts w:ascii="NDSFrutiger-Bold" w:hAnsi="NDSFrutiger-Bold" w:cs="NDSFrutiger-Bold"/>
          <w:b/>
          <w:bCs/>
          <w:color w:val="000000"/>
          <w:sz w:val="20"/>
          <w:szCs w:val="20"/>
          <w:lang w:eastAsia="de-DE"/>
        </w:rPr>
        <w:t xml:space="preserve">Fall 1: </w:t>
      </w:r>
      <w:r>
        <w:rPr>
          <w:rFonts w:ascii="NDSFrutiger-LightItalic" w:hAnsi="NDSFrutiger-LightItalic" w:cs="NDSFrutiger-LightItalic"/>
          <w:i/>
          <w:iCs/>
          <w:color w:val="000000"/>
          <w:sz w:val="20"/>
          <w:szCs w:val="20"/>
          <w:lang w:eastAsia="de-DE"/>
        </w:rPr>
        <w:t>Messwert liegt innerhalb Grenze, Messunsicherheit liegt innerhalb Grenze</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r>
        <w:rPr>
          <w:rFonts w:ascii="NDSFrutiger-Light" w:hAnsi="NDSFrutiger-Light" w:cs="NDSFrutiger-Light"/>
          <w:color w:val="000000"/>
          <w:sz w:val="20"/>
          <w:szCs w:val="20"/>
          <w:lang w:eastAsia="de-DE"/>
        </w:rPr>
        <w:t xml:space="preserve">Konformitätsaussage: </w:t>
      </w:r>
      <w:r>
        <w:rPr>
          <w:rFonts w:ascii="NDSFrutiger-Bold" w:hAnsi="NDSFrutiger-Bold" w:cs="NDSFrutiger-Bold"/>
          <w:b/>
          <w:bCs/>
          <w:color w:val="000000"/>
          <w:sz w:val="20"/>
          <w:szCs w:val="20"/>
          <w:lang w:eastAsia="de-DE"/>
        </w:rPr>
        <w:t>Ergebnis ist konform</w:t>
      </w:r>
      <w:r>
        <w:rPr>
          <w:rFonts w:ascii="NDSFrutiger-Light" w:hAnsi="NDSFrutiger-Light" w:cs="NDSFrutiger-Light"/>
          <w:color w:val="000000"/>
          <w:sz w:val="20"/>
          <w:szCs w:val="20"/>
          <w:lang w:eastAsia="de-DE"/>
        </w:rPr>
        <w:t xml:space="preserve">. Das Risiko einer falschen Bewertung ist sehr gering, da auch unter Berücksichtigung der Messunsicherheit der </w:t>
      </w:r>
      <w:proofErr w:type="spellStart"/>
      <w:r>
        <w:rPr>
          <w:rFonts w:ascii="NDSFrutiger-Light" w:hAnsi="NDSFrutiger-Light" w:cs="NDSFrutiger-Light"/>
          <w:color w:val="000000"/>
          <w:sz w:val="20"/>
          <w:szCs w:val="20"/>
          <w:lang w:eastAsia="de-DE"/>
        </w:rPr>
        <w:t>Prüfwert</w:t>
      </w:r>
      <w:proofErr w:type="spellEnd"/>
      <w:r>
        <w:rPr>
          <w:rFonts w:ascii="NDSFrutiger-Light" w:hAnsi="NDSFrutiger-Light" w:cs="NDSFrutiger-Light"/>
          <w:color w:val="000000"/>
          <w:sz w:val="20"/>
          <w:szCs w:val="20"/>
          <w:lang w:eastAsia="de-DE"/>
        </w:rPr>
        <w:t xml:space="preserve"> nicht über- bzw. unterschritten wird.</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p>
    <w:p>
      <w:pPr>
        <w:autoSpaceDE w:val="0"/>
        <w:autoSpaceDN w:val="0"/>
        <w:adjustRightInd w:val="0"/>
        <w:spacing w:after="0" w:line="240" w:lineRule="auto"/>
        <w:jc w:val="both"/>
        <w:rPr>
          <w:rFonts w:ascii="NDSFrutiger-LightItalic" w:hAnsi="NDSFrutiger-LightItalic" w:cs="NDSFrutiger-LightItalic"/>
          <w:i/>
          <w:iCs/>
          <w:color w:val="000000"/>
          <w:sz w:val="20"/>
          <w:szCs w:val="20"/>
          <w:lang w:eastAsia="de-DE"/>
        </w:rPr>
      </w:pPr>
      <w:r>
        <w:rPr>
          <w:rFonts w:ascii="NDSFrutiger-Bold" w:hAnsi="NDSFrutiger-Bold" w:cs="NDSFrutiger-Bold"/>
          <w:b/>
          <w:bCs/>
          <w:color w:val="000000"/>
          <w:sz w:val="20"/>
          <w:szCs w:val="20"/>
          <w:lang w:eastAsia="de-DE"/>
        </w:rPr>
        <w:t xml:space="preserve">Fall 2: </w:t>
      </w:r>
      <w:r>
        <w:rPr>
          <w:rFonts w:ascii="NDSFrutiger-LightItalic" w:hAnsi="NDSFrutiger-LightItalic" w:cs="NDSFrutiger-LightItalic"/>
          <w:i/>
          <w:iCs/>
          <w:color w:val="000000"/>
          <w:sz w:val="20"/>
          <w:szCs w:val="20"/>
          <w:lang w:eastAsia="de-DE"/>
        </w:rPr>
        <w:t>Messwert liegt innerhalb Grenze, Messunsicherheit liegt außerhalb Grenze</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r>
        <w:rPr>
          <w:rFonts w:ascii="NDSFrutiger-Light" w:hAnsi="NDSFrutiger-Light" w:cs="NDSFrutiger-Light"/>
          <w:color w:val="000000"/>
          <w:sz w:val="20"/>
          <w:szCs w:val="20"/>
          <w:lang w:eastAsia="de-DE"/>
        </w:rPr>
        <w:t xml:space="preserve">Konformitätsaussage: </w:t>
      </w:r>
      <w:r>
        <w:rPr>
          <w:rFonts w:ascii="NDSFrutiger-Bold" w:hAnsi="NDSFrutiger-Bold" w:cs="NDSFrutiger-Bold"/>
          <w:b/>
          <w:bCs/>
          <w:color w:val="000000"/>
          <w:sz w:val="20"/>
          <w:szCs w:val="20"/>
          <w:lang w:eastAsia="de-DE"/>
        </w:rPr>
        <w:t>Ergebnis ist konform</w:t>
      </w:r>
      <w:r>
        <w:rPr>
          <w:rFonts w:ascii="NDSFrutiger-Light" w:hAnsi="NDSFrutiger-Light" w:cs="NDSFrutiger-Light"/>
          <w:color w:val="000000"/>
          <w:sz w:val="20"/>
          <w:szCs w:val="20"/>
          <w:lang w:eastAsia="de-DE"/>
        </w:rPr>
        <w:t>. Unter Berücksichtigung der Messunsicherheit könnte die Probe die Anforderungen allerdings nicht erfüllen. Eine Über- bzw. Unterschreitung und somit eine</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r>
        <w:rPr>
          <w:rFonts w:ascii="NDSFrutiger-Light" w:hAnsi="NDSFrutiger-Light" w:cs="NDSFrutiger-Light"/>
          <w:color w:val="000000"/>
          <w:sz w:val="20"/>
          <w:szCs w:val="20"/>
          <w:lang w:eastAsia="de-DE"/>
        </w:rPr>
        <w:t>Beanstandung ist nicht sicher auszuschließen. Dies sollte ggf. durch eine Wiederholuntersuchung abgesichert werden.</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p>
    <w:p>
      <w:pPr>
        <w:autoSpaceDE w:val="0"/>
        <w:autoSpaceDN w:val="0"/>
        <w:adjustRightInd w:val="0"/>
        <w:spacing w:after="0" w:line="240" w:lineRule="auto"/>
        <w:jc w:val="both"/>
        <w:rPr>
          <w:rFonts w:ascii="NDSFrutiger-LightItalic" w:hAnsi="NDSFrutiger-LightItalic" w:cs="NDSFrutiger-LightItalic"/>
          <w:i/>
          <w:iCs/>
          <w:color w:val="000000"/>
          <w:sz w:val="20"/>
          <w:szCs w:val="20"/>
          <w:lang w:eastAsia="de-DE"/>
        </w:rPr>
      </w:pPr>
      <w:r>
        <w:rPr>
          <w:rFonts w:ascii="NDSFrutiger-Bold" w:hAnsi="NDSFrutiger-Bold" w:cs="NDSFrutiger-Bold"/>
          <w:b/>
          <w:bCs/>
          <w:color w:val="000000"/>
          <w:sz w:val="20"/>
          <w:szCs w:val="20"/>
          <w:lang w:eastAsia="de-DE"/>
        </w:rPr>
        <w:t xml:space="preserve">Fall 3: </w:t>
      </w:r>
      <w:r>
        <w:rPr>
          <w:rFonts w:ascii="NDSFrutiger-LightItalic" w:hAnsi="NDSFrutiger-LightItalic" w:cs="NDSFrutiger-LightItalic"/>
          <w:i/>
          <w:iCs/>
          <w:color w:val="000000"/>
          <w:sz w:val="20"/>
          <w:szCs w:val="20"/>
          <w:lang w:eastAsia="de-DE"/>
        </w:rPr>
        <w:t>Messwert liegt außerhalb Grenze, Messunsicherheit liegt innerhalb Grenze</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r>
        <w:rPr>
          <w:rFonts w:ascii="NDSFrutiger-Light" w:hAnsi="NDSFrutiger-Light" w:cs="NDSFrutiger-Light"/>
          <w:color w:val="000000"/>
          <w:sz w:val="20"/>
          <w:szCs w:val="20"/>
          <w:lang w:eastAsia="de-DE"/>
        </w:rPr>
        <w:t xml:space="preserve">Konformitätsaussage: </w:t>
      </w:r>
      <w:r>
        <w:rPr>
          <w:rFonts w:ascii="NDSFrutiger-Bold" w:hAnsi="NDSFrutiger-Bold" w:cs="NDSFrutiger-Bold"/>
          <w:b/>
          <w:bCs/>
          <w:color w:val="000000"/>
          <w:sz w:val="20"/>
          <w:szCs w:val="20"/>
          <w:lang w:eastAsia="de-DE"/>
        </w:rPr>
        <w:t>Ergebnis ist nicht konform</w:t>
      </w:r>
      <w:r>
        <w:rPr>
          <w:rFonts w:ascii="NDSFrutiger-Light" w:hAnsi="NDSFrutiger-Light" w:cs="NDSFrutiger-Light"/>
          <w:color w:val="000000"/>
          <w:sz w:val="20"/>
          <w:szCs w:val="20"/>
          <w:lang w:eastAsia="de-DE"/>
        </w:rPr>
        <w:t>. Unter Berücksichtigung der Messunsicherheit könnte die Probe noch die Anforderungen erfüllen, das Risiko einer Über- bzw. Unterschreitung und somit einer Beanstandung ist aber hoch. Dies sollte ggf. durch eine Wiederholuntersuchung abgesichert werden.</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p>
    <w:p>
      <w:pPr>
        <w:autoSpaceDE w:val="0"/>
        <w:autoSpaceDN w:val="0"/>
        <w:adjustRightInd w:val="0"/>
        <w:spacing w:after="0" w:line="240" w:lineRule="auto"/>
        <w:jc w:val="both"/>
        <w:rPr>
          <w:rFonts w:ascii="NDSFrutiger-LightItalic" w:hAnsi="NDSFrutiger-LightItalic" w:cs="NDSFrutiger-LightItalic"/>
          <w:i/>
          <w:iCs/>
          <w:color w:val="000000"/>
          <w:sz w:val="20"/>
          <w:szCs w:val="20"/>
          <w:lang w:eastAsia="de-DE"/>
        </w:rPr>
      </w:pPr>
      <w:r>
        <w:rPr>
          <w:rFonts w:ascii="NDSFrutiger-Bold" w:hAnsi="NDSFrutiger-Bold" w:cs="NDSFrutiger-Bold"/>
          <w:b/>
          <w:bCs/>
          <w:color w:val="000000"/>
          <w:sz w:val="20"/>
          <w:szCs w:val="20"/>
          <w:lang w:eastAsia="de-DE"/>
        </w:rPr>
        <w:t xml:space="preserve">Fall 4: </w:t>
      </w:r>
      <w:r>
        <w:rPr>
          <w:rFonts w:ascii="NDSFrutiger-LightItalic" w:hAnsi="NDSFrutiger-LightItalic" w:cs="NDSFrutiger-LightItalic"/>
          <w:i/>
          <w:iCs/>
          <w:color w:val="000000"/>
          <w:sz w:val="20"/>
          <w:szCs w:val="20"/>
          <w:lang w:eastAsia="de-DE"/>
        </w:rPr>
        <w:t>Messwert liegt außerhalb Grenze, Messunsicherheit liegt außerhalb Grenze</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r>
        <w:rPr>
          <w:rFonts w:ascii="NDSFrutiger-Light" w:hAnsi="NDSFrutiger-Light" w:cs="NDSFrutiger-Light"/>
          <w:color w:val="000000"/>
          <w:sz w:val="20"/>
          <w:szCs w:val="20"/>
          <w:lang w:eastAsia="de-DE"/>
        </w:rPr>
        <w:t xml:space="preserve">Konformitätsaussage: </w:t>
      </w:r>
      <w:r>
        <w:rPr>
          <w:rFonts w:ascii="NDSFrutiger-Bold" w:hAnsi="NDSFrutiger-Bold" w:cs="NDSFrutiger-Bold"/>
          <w:b/>
          <w:bCs/>
          <w:color w:val="000000"/>
          <w:sz w:val="20"/>
          <w:szCs w:val="20"/>
          <w:lang w:eastAsia="de-DE"/>
        </w:rPr>
        <w:t>Ergebnis ist nicht konform</w:t>
      </w:r>
      <w:r>
        <w:rPr>
          <w:rFonts w:ascii="NDSFrutiger-Light" w:hAnsi="NDSFrutiger-Light" w:cs="NDSFrutiger-Light"/>
          <w:color w:val="000000"/>
          <w:sz w:val="20"/>
          <w:szCs w:val="20"/>
          <w:lang w:eastAsia="de-DE"/>
        </w:rPr>
        <w:t xml:space="preserve">. Das Risiko einer falschen Bewertung ist sehr gering, da auch unter Berücksichtigung der Messunsicherheit der </w:t>
      </w:r>
      <w:proofErr w:type="spellStart"/>
      <w:r>
        <w:rPr>
          <w:rFonts w:ascii="NDSFrutiger-Light" w:hAnsi="NDSFrutiger-Light" w:cs="NDSFrutiger-Light"/>
          <w:color w:val="000000"/>
          <w:sz w:val="20"/>
          <w:szCs w:val="20"/>
          <w:lang w:eastAsia="de-DE"/>
        </w:rPr>
        <w:t>Prüfwert</w:t>
      </w:r>
      <w:proofErr w:type="spellEnd"/>
      <w:r>
        <w:rPr>
          <w:rFonts w:ascii="NDSFrutiger-Light" w:hAnsi="NDSFrutiger-Light" w:cs="NDSFrutiger-Light"/>
          <w:color w:val="000000"/>
          <w:sz w:val="20"/>
          <w:szCs w:val="20"/>
          <w:lang w:eastAsia="de-DE"/>
        </w:rPr>
        <w:t xml:space="preserve"> über- bzw. unterschritten wird.</w:t>
      </w:r>
    </w:p>
    <w:p>
      <w:pPr>
        <w:autoSpaceDE w:val="0"/>
        <w:autoSpaceDN w:val="0"/>
        <w:adjustRightInd w:val="0"/>
        <w:spacing w:after="0" w:line="240" w:lineRule="auto"/>
        <w:jc w:val="both"/>
        <w:rPr>
          <w:rFonts w:ascii="NDSFrutiger-Light" w:hAnsi="NDSFrutiger-Light" w:cs="NDSFrutiger-Light"/>
          <w:color w:val="000000"/>
          <w:sz w:val="20"/>
          <w:szCs w:val="20"/>
          <w:lang w:eastAsia="de-DE"/>
        </w:rPr>
      </w:pPr>
    </w:p>
    <w:p>
      <w:pPr>
        <w:autoSpaceDE w:val="0"/>
        <w:autoSpaceDN w:val="0"/>
        <w:adjustRightInd w:val="0"/>
        <w:spacing w:after="0" w:line="240" w:lineRule="auto"/>
        <w:jc w:val="both"/>
        <w:rPr>
          <w:rFonts w:ascii="NDSFrutiger-Light" w:hAnsi="NDSFrutiger-Light" w:cs="NDSFrutiger-Light"/>
          <w:color w:val="000000"/>
          <w:sz w:val="20"/>
          <w:szCs w:val="20"/>
          <w:lang w:eastAsia="de-DE"/>
        </w:rPr>
      </w:pPr>
    </w:p>
    <w:p>
      <w:pPr>
        <w:autoSpaceDE w:val="0"/>
        <w:autoSpaceDN w:val="0"/>
        <w:adjustRightInd w:val="0"/>
        <w:spacing w:after="0" w:line="240" w:lineRule="auto"/>
        <w:jc w:val="both"/>
        <w:rPr>
          <w:rFonts w:ascii="NDSFrutiger-Light" w:hAnsi="NDSFrutiger-Light" w:cs="NDSFrutiger-Light"/>
          <w:color w:val="000000"/>
          <w:sz w:val="20"/>
          <w:szCs w:val="20"/>
          <w:lang w:eastAsia="de-DE"/>
        </w:rPr>
      </w:pPr>
      <w:r>
        <w:rPr>
          <w:rFonts w:ascii="NDSFrutiger-Light" w:hAnsi="NDSFrutiger-Light" w:cs="NDSFrutiger-Light"/>
          <w:color w:val="000000"/>
          <w:sz w:val="12"/>
          <w:szCs w:val="12"/>
          <w:lang w:eastAsia="de-DE"/>
        </w:rPr>
        <w:t xml:space="preserve">*) </w:t>
      </w:r>
      <w:r>
        <w:rPr>
          <w:rFonts w:ascii="NDSFrutiger-Light" w:hAnsi="NDSFrutiger-Light" w:cs="NDSFrutiger-Light"/>
          <w:color w:val="000000"/>
          <w:sz w:val="20"/>
          <w:szCs w:val="20"/>
          <w:lang w:eastAsia="de-DE"/>
        </w:rPr>
        <w:t xml:space="preserve">Untersuchungen im Rahmen der </w:t>
      </w:r>
      <w:r>
        <w:rPr>
          <w:rFonts w:ascii="NDSFrutiger-Bold" w:hAnsi="NDSFrutiger-Bold" w:cs="NDSFrutiger-Bold"/>
          <w:b/>
          <w:bCs/>
          <w:color w:val="000000"/>
          <w:sz w:val="20"/>
          <w:szCs w:val="20"/>
          <w:lang w:eastAsia="de-DE"/>
        </w:rPr>
        <w:t xml:space="preserve">Trinkwasserverordnung </w:t>
      </w:r>
      <w:r>
        <w:rPr>
          <w:rFonts w:ascii="NDSFrutiger-Light" w:hAnsi="NDSFrutiger-Light" w:cs="NDSFrutiger-Light"/>
          <w:color w:val="000000"/>
          <w:sz w:val="20"/>
          <w:szCs w:val="20"/>
          <w:lang w:eastAsia="de-DE"/>
        </w:rPr>
        <w:t xml:space="preserve">werden entsprechend der dort vorgeschriebenen Entscheidungsregel bewertet. Danach berücksichtigen festgelegte Prüfwerte die Messunsicherheiten der Analyse und </w:t>
      </w:r>
      <w:proofErr w:type="spellStart"/>
      <w:r>
        <w:rPr>
          <w:rFonts w:ascii="NDSFrutiger-Light" w:hAnsi="NDSFrutiger-Light" w:cs="NDSFrutiger-Light"/>
          <w:color w:val="000000"/>
          <w:sz w:val="20"/>
          <w:szCs w:val="20"/>
          <w:lang w:eastAsia="de-DE"/>
        </w:rPr>
        <w:t>Probenahmeverfahren</w:t>
      </w:r>
      <w:proofErr w:type="spellEnd"/>
      <w:r>
        <w:rPr>
          <w:rFonts w:ascii="NDSFrutiger-Light" w:hAnsi="NDSFrutiger-Light" w:cs="NDSFrutiger-Light"/>
          <w:color w:val="000000"/>
          <w:sz w:val="20"/>
          <w:szCs w:val="20"/>
          <w:lang w:eastAsia="de-DE"/>
        </w:rPr>
        <w:t xml:space="preserve"> bereits.</w:t>
      </w:r>
    </w:p>
    <w:p>
      <w:pPr>
        <w:autoSpaceDE w:val="0"/>
        <w:autoSpaceDN w:val="0"/>
        <w:adjustRightInd w:val="0"/>
        <w:spacing w:after="0" w:line="240" w:lineRule="auto"/>
        <w:jc w:val="both"/>
        <w:rPr>
          <w:rFonts w:ascii="NDSFrutiger-Bold" w:hAnsi="NDSFrutiger-Bold" w:cs="NDSFrutiger-Bold"/>
          <w:b/>
          <w:bCs/>
          <w:color w:val="000000"/>
          <w:sz w:val="18"/>
          <w:szCs w:val="18"/>
          <w:lang w:eastAsia="de-DE"/>
        </w:rPr>
      </w:pPr>
    </w:p>
    <w:sectPr>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DSFrutiger-Bold">
    <w:panose1 w:val="00000000000000000000"/>
    <w:charset w:val="00"/>
    <w:family w:val="swiss"/>
    <w:notTrueType/>
    <w:pitch w:val="default"/>
    <w:sig w:usb0="00000003" w:usb1="00000000" w:usb2="00000000" w:usb3="00000000" w:csb0="00000001" w:csb1="00000000"/>
  </w:font>
  <w:font w:name="NDSFrutiger-Light">
    <w:panose1 w:val="00000000000000000000"/>
    <w:charset w:val="00"/>
    <w:family w:val="swiss"/>
    <w:notTrueType/>
    <w:pitch w:val="default"/>
    <w:sig w:usb0="00000003" w:usb1="00000000" w:usb2="00000000" w:usb3="00000000" w:csb0="00000001" w:csb1="00000000"/>
  </w:font>
  <w:font w:name="NDSFrutiger-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snapToGrid w:val="0"/>
      </w:rPr>
      <w:fldChar w:fldCharType="begin"/>
    </w:r>
    <w:r>
      <w:rPr>
        <w:snapToGrid w:val="0"/>
      </w:rPr>
      <w:instrText xml:space="preserve"> FILENAME \p </w:instrText>
    </w:r>
    <w:r>
      <w:rPr>
        <w:snapToGrid w:val="0"/>
      </w:rPr>
      <w:fldChar w:fldCharType="separate"/>
    </w:r>
    <w:r>
      <w:rPr>
        <w:noProof/>
        <w:snapToGrid w:val="0"/>
      </w:rPr>
      <w:t>X:\Umweltlabor\Qualitätssicherung EN ISO 17025 neu\Managementverfahrensanweisungen\MVA 7.01 Prüfung von Anfragen, Angebote und Verträge\MVA 7.01 Anlage A Liste der Untersuchungsgebühren.docx</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5216"/>
      <w:gridCol w:w="2296"/>
    </w:tblGrid>
    <w:tr>
      <w:trPr>
        <w:trHeight w:val="753"/>
      </w:trPr>
      <w:tc>
        <w:tcPr>
          <w:tcW w:w="2127" w:type="dxa"/>
          <w:vAlign w:val="center"/>
        </w:tcPr>
        <w:p>
          <w:pPr>
            <w:pStyle w:val="Kopfzeile"/>
            <w:jc w:val="center"/>
            <w:rPr>
              <w:rFonts w:ascii="Arial" w:hAnsi="Arial"/>
              <w:sz w:val="22"/>
              <w:szCs w:val="22"/>
            </w:rPr>
          </w:pPr>
          <w:r>
            <w:rPr>
              <w:rFonts w:ascii="Arial" w:hAnsi="Arial"/>
              <w:sz w:val="22"/>
              <w:szCs w:val="22"/>
            </w:rPr>
            <w:t>Landkreis Celle</w:t>
          </w:r>
        </w:p>
        <w:p>
          <w:pPr>
            <w:pStyle w:val="Kopfzeile"/>
            <w:jc w:val="center"/>
            <w:rPr>
              <w:rFonts w:ascii="Arial" w:hAnsi="Arial"/>
              <w:sz w:val="22"/>
              <w:szCs w:val="22"/>
            </w:rPr>
          </w:pPr>
          <w:r>
            <w:rPr>
              <w:rFonts w:ascii="Arial" w:hAnsi="Arial"/>
              <w:sz w:val="22"/>
              <w:szCs w:val="22"/>
            </w:rPr>
            <w:t>-Umweltlabor-</w:t>
          </w:r>
        </w:p>
      </w:tc>
      <w:tc>
        <w:tcPr>
          <w:tcW w:w="5216" w:type="dxa"/>
        </w:tcPr>
        <w:p>
          <w:pPr>
            <w:pStyle w:val="Kopfzeile"/>
            <w:jc w:val="center"/>
            <w:rPr>
              <w:rFonts w:ascii="Arial" w:hAnsi="Arial"/>
              <w:sz w:val="22"/>
              <w:szCs w:val="22"/>
            </w:rPr>
          </w:pPr>
        </w:p>
        <w:p>
          <w:pPr>
            <w:pStyle w:val="Kopfzeile"/>
            <w:jc w:val="center"/>
            <w:rPr>
              <w:rFonts w:ascii="Arial" w:hAnsi="Arial"/>
              <w:sz w:val="22"/>
              <w:szCs w:val="22"/>
            </w:rPr>
          </w:pPr>
          <w:proofErr w:type="spellStart"/>
          <w:r>
            <w:rPr>
              <w:rFonts w:ascii="Arial" w:hAnsi="Arial"/>
              <w:b/>
              <w:sz w:val="22"/>
              <w:szCs w:val="22"/>
            </w:rPr>
            <w:t>M</w:t>
          </w:r>
          <w:r>
            <w:rPr>
              <w:rFonts w:ascii="Arial" w:hAnsi="Arial"/>
              <w:sz w:val="22"/>
              <w:szCs w:val="22"/>
            </w:rPr>
            <w:t>anagement</w:t>
          </w:r>
          <w:r>
            <w:rPr>
              <w:rFonts w:ascii="Arial" w:hAnsi="Arial"/>
              <w:b/>
              <w:sz w:val="22"/>
              <w:szCs w:val="22"/>
            </w:rPr>
            <w:t>H</w:t>
          </w:r>
          <w:r>
            <w:rPr>
              <w:rFonts w:ascii="Arial" w:hAnsi="Arial"/>
              <w:sz w:val="22"/>
              <w:szCs w:val="22"/>
            </w:rPr>
            <w:t>andbuch</w:t>
          </w:r>
          <w:proofErr w:type="spellEnd"/>
          <w:r>
            <w:rPr>
              <w:rFonts w:ascii="Arial" w:hAnsi="Arial"/>
              <w:sz w:val="22"/>
              <w:szCs w:val="22"/>
            </w:rPr>
            <w:t xml:space="preserve"> </w:t>
          </w:r>
        </w:p>
      </w:tc>
      <w:tc>
        <w:tcPr>
          <w:tcW w:w="2296" w:type="dxa"/>
          <w:vAlign w:val="center"/>
        </w:tcPr>
        <w:p>
          <w:pPr>
            <w:pStyle w:val="Kopfzeile"/>
            <w:tabs>
              <w:tab w:val="left" w:pos="922"/>
            </w:tabs>
            <w:jc w:val="center"/>
            <w:rPr>
              <w:rFonts w:ascii="Arial" w:hAnsi="Arial"/>
              <w:sz w:val="22"/>
              <w:szCs w:val="22"/>
            </w:rPr>
          </w:pPr>
          <w:r>
            <w:rPr>
              <w:rFonts w:ascii="Arial" w:hAnsi="Arial"/>
              <w:sz w:val="22"/>
              <w:szCs w:val="22"/>
            </w:rPr>
            <w:t>MVA 7.01</w:t>
          </w:r>
        </w:p>
      </w:tc>
    </w:tr>
    <w:tr>
      <w:trPr>
        <w:trHeight w:val="426"/>
      </w:trPr>
      <w:tc>
        <w:tcPr>
          <w:tcW w:w="2127" w:type="dxa"/>
          <w:vAlign w:val="center"/>
        </w:tcPr>
        <w:p>
          <w:pPr>
            <w:pStyle w:val="Kopfzeile"/>
            <w:jc w:val="center"/>
            <w:rPr>
              <w:rFonts w:ascii="Arial" w:hAnsi="Arial"/>
              <w:sz w:val="22"/>
              <w:szCs w:val="22"/>
            </w:rPr>
          </w:pPr>
        </w:p>
        <w:p>
          <w:pPr>
            <w:pStyle w:val="Kopfzeile"/>
            <w:jc w:val="center"/>
            <w:rPr>
              <w:rFonts w:ascii="Arial" w:hAnsi="Arial"/>
              <w:sz w:val="22"/>
              <w:szCs w:val="22"/>
            </w:rPr>
          </w:pPr>
          <w:r>
            <w:rPr>
              <w:rFonts w:ascii="Arial" w:hAnsi="Arial"/>
              <w:sz w:val="22"/>
              <w:szCs w:val="22"/>
            </w:rPr>
            <w:t>Version: 04</w:t>
          </w:r>
        </w:p>
        <w:p>
          <w:pPr>
            <w:pStyle w:val="Kopfzeile"/>
            <w:jc w:val="center"/>
            <w:rPr>
              <w:rFonts w:ascii="Arial" w:hAnsi="Arial"/>
              <w:sz w:val="22"/>
              <w:szCs w:val="22"/>
            </w:rPr>
          </w:pPr>
        </w:p>
      </w:tc>
      <w:tc>
        <w:tcPr>
          <w:tcW w:w="5216" w:type="dxa"/>
        </w:tcPr>
        <w:p>
          <w:pPr>
            <w:pStyle w:val="Kopfzeile"/>
            <w:jc w:val="center"/>
            <w:rPr>
              <w:rFonts w:ascii="Arial" w:hAnsi="Arial"/>
              <w:b/>
              <w:sz w:val="22"/>
              <w:szCs w:val="22"/>
            </w:rPr>
          </w:pPr>
        </w:p>
        <w:p>
          <w:pPr>
            <w:pStyle w:val="Kopfzeile"/>
            <w:rPr>
              <w:rFonts w:ascii="Arial" w:hAnsi="Arial"/>
              <w:b/>
              <w:snapToGrid w:val="0"/>
              <w:sz w:val="22"/>
              <w:szCs w:val="22"/>
            </w:rPr>
          </w:pPr>
          <w:r>
            <w:rPr>
              <w:rFonts w:ascii="Arial" w:hAnsi="Arial"/>
              <w:b/>
              <w:snapToGrid w:val="0"/>
              <w:sz w:val="22"/>
              <w:szCs w:val="22"/>
            </w:rPr>
            <w:t xml:space="preserve">Anlage A:  Gebührenübersicht für Leistungen </w:t>
          </w:r>
        </w:p>
        <w:p>
          <w:pPr>
            <w:pStyle w:val="Kopfzeile"/>
            <w:rPr>
              <w:rFonts w:ascii="Arial" w:hAnsi="Arial"/>
              <w:b/>
              <w:snapToGrid w:val="0"/>
              <w:sz w:val="22"/>
              <w:szCs w:val="22"/>
            </w:rPr>
          </w:pPr>
          <w:r>
            <w:rPr>
              <w:rFonts w:ascii="Arial" w:hAnsi="Arial"/>
              <w:b/>
              <w:snapToGrid w:val="0"/>
              <w:sz w:val="22"/>
              <w:szCs w:val="22"/>
            </w:rPr>
            <w:t xml:space="preserve">                   des </w:t>
          </w:r>
          <w:proofErr w:type="spellStart"/>
          <w:r>
            <w:rPr>
              <w:rFonts w:ascii="Arial" w:hAnsi="Arial"/>
              <w:b/>
              <w:snapToGrid w:val="0"/>
              <w:sz w:val="22"/>
              <w:szCs w:val="22"/>
            </w:rPr>
            <w:t>Umweltlabores</w:t>
          </w:r>
          <w:proofErr w:type="spellEnd"/>
        </w:p>
        <w:p>
          <w:pPr>
            <w:pStyle w:val="Kopfzeile"/>
            <w:jc w:val="center"/>
            <w:rPr>
              <w:rFonts w:ascii="Arial" w:hAnsi="Arial"/>
              <w:b/>
              <w:sz w:val="22"/>
              <w:szCs w:val="22"/>
            </w:rPr>
          </w:pPr>
        </w:p>
      </w:tc>
      <w:tc>
        <w:tcPr>
          <w:tcW w:w="2296" w:type="dxa"/>
          <w:vAlign w:val="center"/>
        </w:tcPr>
        <w:p>
          <w:pPr>
            <w:pStyle w:val="Kopfzeile"/>
            <w:tabs>
              <w:tab w:val="left" w:pos="922"/>
            </w:tabs>
            <w:jc w:val="center"/>
            <w:rPr>
              <w:rFonts w:ascii="Arial" w:hAnsi="Arial"/>
              <w:sz w:val="22"/>
              <w:szCs w:val="22"/>
            </w:rPr>
          </w:pPr>
          <w:r>
            <w:rPr>
              <w:rFonts w:ascii="Arial" w:hAnsi="Arial"/>
              <w:snapToGrid w:val="0"/>
              <w:sz w:val="22"/>
              <w:szCs w:val="22"/>
            </w:rPr>
            <w:t xml:space="preserve">Seite </w:t>
          </w:r>
          <w:r>
            <w:rPr>
              <w:rFonts w:ascii="Arial" w:hAnsi="Arial"/>
              <w:snapToGrid w:val="0"/>
              <w:sz w:val="22"/>
              <w:szCs w:val="22"/>
            </w:rPr>
            <w:fldChar w:fldCharType="begin"/>
          </w:r>
          <w:r>
            <w:rPr>
              <w:rFonts w:ascii="Arial" w:hAnsi="Arial"/>
              <w:snapToGrid w:val="0"/>
              <w:sz w:val="22"/>
              <w:szCs w:val="22"/>
            </w:rPr>
            <w:instrText xml:space="preserve"> PAGE </w:instrText>
          </w:r>
          <w:r>
            <w:rPr>
              <w:rFonts w:ascii="Arial" w:hAnsi="Arial"/>
              <w:snapToGrid w:val="0"/>
              <w:sz w:val="22"/>
              <w:szCs w:val="22"/>
            </w:rPr>
            <w:fldChar w:fldCharType="separate"/>
          </w:r>
          <w:r>
            <w:rPr>
              <w:rFonts w:ascii="Arial" w:hAnsi="Arial"/>
              <w:noProof/>
              <w:snapToGrid w:val="0"/>
              <w:sz w:val="22"/>
              <w:szCs w:val="22"/>
            </w:rPr>
            <w:t>5</w:t>
          </w:r>
          <w:r>
            <w:rPr>
              <w:rFonts w:ascii="Arial" w:hAnsi="Arial"/>
              <w:snapToGrid w:val="0"/>
              <w:sz w:val="22"/>
              <w:szCs w:val="22"/>
            </w:rPr>
            <w:fldChar w:fldCharType="end"/>
          </w:r>
          <w:r>
            <w:rPr>
              <w:rFonts w:ascii="Arial" w:hAnsi="Arial"/>
              <w:snapToGrid w:val="0"/>
              <w:sz w:val="22"/>
              <w:szCs w:val="22"/>
            </w:rPr>
            <w:t xml:space="preserve"> von </w:t>
          </w:r>
          <w:r>
            <w:rPr>
              <w:rFonts w:ascii="Arial" w:hAnsi="Arial"/>
              <w:snapToGrid w:val="0"/>
              <w:sz w:val="22"/>
              <w:szCs w:val="22"/>
            </w:rPr>
            <w:fldChar w:fldCharType="begin"/>
          </w:r>
          <w:r>
            <w:rPr>
              <w:rFonts w:ascii="Arial" w:hAnsi="Arial"/>
              <w:snapToGrid w:val="0"/>
              <w:sz w:val="22"/>
              <w:szCs w:val="22"/>
            </w:rPr>
            <w:instrText xml:space="preserve"> NUMPAGES </w:instrText>
          </w:r>
          <w:r>
            <w:rPr>
              <w:rFonts w:ascii="Arial" w:hAnsi="Arial"/>
              <w:snapToGrid w:val="0"/>
              <w:sz w:val="22"/>
              <w:szCs w:val="22"/>
            </w:rPr>
            <w:fldChar w:fldCharType="separate"/>
          </w:r>
          <w:r>
            <w:rPr>
              <w:rFonts w:ascii="Arial" w:hAnsi="Arial"/>
              <w:noProof/>
              <w:snapToGrid w:val="0"/>
              <w:sz w:val="22"/>
              <w:szCs w:val="22"/>
            </w:rPr>
            <w:t>5</w:t>
          </w:r>
          <w:r>
            <w:rPr>
              <w:rFonts w:ascii="Arial" w:hAnsi="Arial"/>
              <w:snapToGrid w:val="0"/>
              <w:sz w:val="22"/>
              <w:szCs w:val="22"/>
            </w:rPr>
            <w:fldChar w:fldCharType="end"/>
          </w:r>
        </w:p>
        <w:p>
          <w:pPr>
            <w:pStyle w:val="Kopfzeile"/>
            <w:tabs>
              <w:tab w:val="left" w:pos="922"/>
            </w:tabs>
            <w:jc w:val="center"/>
            <w:rPr>
              <w:rFonts w:ascii="Arial" w:hAnsi="Arial"/>
              <w:sz w:val="22"/>
              <w:szCs w:val="22"/>
            </w:rPr>
          </w:pPr>
          <w:r>
            <w:rPr>
              <w:rFonts w:ascii="Arial" w:hAnsi="Arial"/>
              <w:sz w:val="22"/>
              <w:szCs w:val="22"/>
            </w:rPr>
            <w:t>gültig ab: 01.01.2023</w:t>
          </w:r>
        </w:p>
      </w:tc>
    </w:tr>
  </w:tbl>
  <w:p>
    <w:pPr>
      <w:pStyle w:val="Kopfzei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1639"/>
    <w:multiLevelType w:val="hybridMultilevel"/>
    <w:tmpl w:val="517C7F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4F5154"/>
    <w:multiLevelType w:val="hybridMultilevel"/>
    <w:tmpl w:val="266C5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801366"/>
    <w:multiLevelType w:val="hybridMultilevel"/>
    <w:tmpl w:val="17789572"/>
    <w:lvl w:ilvl="0" w:tplc="04070011">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819D0F97-B9ED-4B10-8962-314CDF8C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qFormat/>
    <w:pPr>
      <w:keepNext/>
      <w:tabs>
        <w:tab w:val="left" w:pos="284"/>
        <w:tab w:val="left" w:pos="993"/>
        <w:tab w:val="decimal" w:pos="6662"/>
        <w:tab w:val="decimal" w:pos="8222"/>
      </w:tabs>
      <w:spacing w:after="0" w:line="240" w:lineRule="auto"/>
      <w:outlineLvl w:val="1"/>
    </w:pPr>
    <w:rPr>
      <w:rFonts w:ascii="Arial" w:eastAsia="Times New Roman" w:hAnsi="Arial"/>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Times New Roman" w:hAnsi="Arial"/>
      <w:b/>
    </w:rPr>
  </w:style>
  <w:style w:type="paragraph" w:styleId="Kopfzeile">
    <w:name w:val="header"/>
    <w:basedOn w:val="Standard"/>
    <w:link w:val="KopfzeileZchn"/>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KopfzeileZchn">
    <w:name w:val="Kopfzeile Zchn"/>
    <w:link w:val="Kopfzeile"/>
    <w:rPr>
      <w:rFonts w:ascii="Times New Roman" w:eastAsia="Times New Roman" w:hAnsi="Times New Roman"/>
    </w:rPr>
  </w:style>
  <w:style w:type="paragraph" w:styleId="Fuzeile">
    <w:name w:val="footer"/>
    <w:basedOn w:val="Standard"/>
    <w:link w:val="FuzeileZchn"/>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FuzeileZchn">
    <w:name w:val="Fußzeile Zchn"/>
    <w:link w:val="Fuzeile"/>
    <w:rPr>
      <w:rFonts w:ascii="Times New Roman" w:eastAsia="Times New Roman" w:hAnsi="Times New Roman"/>
    </w:rPr>
  </w:style>
  <w:style w:type="character" w:styleId="Seitenzahl">
    <w:name w:val="page number"/>
  </w:style>
  <w:style w:type="paragraph" w:styleId="Blocktext">
    <w:name w:val="Block Text"/>
    <w:basedOn w:val="Standard"/>
    <w:pPr>
      <w:tabs>
        <w:tab w:val="left" w:pos="284"/>
        <w:tab w:val="left" w:pos="993"/>
        <w:tab w:val="decimal" w:pos="6662"/>
        <w:tab w:val="decimal" w:pos="8222"/>
      </w:tabs>
      <w:spacing w:after="0" w:line="240" w:lineRule="auto"/>
      <w:ind w:left="-142" w:right="-427"/>
      <w:jc w:val="both"/>
    </w:pPr>
    <w:rPr>
      <w:rFonts w:ascii="Arial" w:eastAsia="Times New Roman" w:hAnsi="Arial"/>
      <w:szCs w:val="20"/>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kreis-celle.de/kreisverwaltung/umwelt-und-laendlicher-raum/umweltlabo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ED9B-E87E-4DF6-8A8A-1149475F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7389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Hartmann, Karin</dc:creator>
  <cp:lastModifiedBy>Hartmann, Karin</cp:lastModifiedBy>
  <cp:revision>6</cp:revision>
  <cp:lastPrinted>2023-02-08T09:52:00Z</cp:lastPrinted>
  <dcterms:created xsi:type="dcterms:W3CDTF">2021-10-13T09:23:00Z</dcterms:created>
  <dcterms:modified xsi:type="dcterms:W3CDTF">2023-02-08T09:52:00Z</dcterms:modified>
</cp:coreProperties>
</file>